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A57DDA" w:rsidTr="006E0B16">
        <w:trPr>
          <w:jc w:val="center"/>
        </w:trPr>
        <w:sdt>
          <w:sdtPr>
            <w:rPr>
              <w:rFonts w:ascii="Arial" w:hAnsi="Arial"/>
              <w:b/>
              <w:bCs/>
              <w:noProof w:val="0"/>
              <w:sz w:val="26"/>
              <w:szCs w:val="26"/>
            </w:rPr>
            <w:alias w:val="1180"/>
            <w:tag w:val="1180"/>
            <w:id w:val="108787784"/>
            <w:placeholder>
              <w:docPart w:val="B9CBA551D3A34410B7BB18BE7A10B73C"/>
            </w:placeholder>
            <w:text w:multiLine="1"/>
          </w:sdtPr>
          <w:sdtEndPr/>
          <w:sdtContent>
            <w:tc>
              <w:tcPr>
                <w:tcW w:w="3249" w:type="dxa"/>
              </w:tcPr>
              <w:p w:rsidR="00A57DDA" w:rsidRDefault="00A57DDA" w:rsidP="006E0B16">
                <w:pPr>
                  <w:bidi w:val="0"/>
                  <w:jc w:val="right"/>
                  <w:rPr>
                    <w:rFonts w:ascii="Arial" w:hAnsi="Arial"/>
                    <w:b/>
                    <w:bCs/>
                    <w:noProof w:val="0"/>
                    <w:sz w:val="26"/>
                    <w:szCs w:val="26"/>
                  </w:rPr>
                </w:pPr>
                <w:r>
                  <w:rPr>
                    <w:rFonts w:ascii="Arial" w:hAnsi="Arial" w:hint="cs"/>
                    <w:b/>
                    <w:bCs/>
                    <w:noProof w:val="0"/>
                    <w:sz w:val="26"/>
                    <w:szCs w:val="26"/>
                    <w:rtl/>
                  </w:rPr>
                  <w:t>התובעים:</w:t>
                </w:r>
              </w:p>
            </w:tc>
          </w:sdtContent>
        </w:sdt>
        <w:tc>
          <w:tcPr>
            <w:tcW w:w="5571" w:type="dxa"/>
          </w:tcPr>
          <w:p w:rsidR="00A57DDA" w:rsidRPr="004D17E0" w:rsidRDefault="00A57DDA" w:rsidP="004D17E0">
            <w:pPr>
              <w:rPr>
                <w:b/>
                <w:bCs/>
                <w:noProof w:val="0"/>
              </w:rPr>
            </w:pPr>
            <w:r>
              <w:rPr>
                <w:b/>
                <w:bCs/>
                <w:noProof w:val="0"/>
                <w:sz w:val="26"/>
                <w:szCs w:val="26"/>
                <w:rtl/>
              </w:rPr>
              <w:t xml:space="preserve"> </w:t>
            </w:r>
            <w:sdt>
              <w:sdtPr>
                <w:rPr>
                  <w:b/>
                  <w:bCs/>
                  <w:noProof w:val="0"/>
                  <w:sz w:val="26"/>
                  <w:szCs w:val="26"/>
                  <w:rtl/>
                </w:rPr>
                <w:alias w:val="1462"/>
                <w:tag w:val="1462"/>
                <w:id w:val="-1109351581"/>
                <w:placeholder>
                  <w:docPart w:val="90AA239BEA88497AA277E5C6BCE29BFE"/>
                </w:placeholder>
                <w:text w:multiLine="1"/>
              </w:sdtPr>
              <w:sdtEndPr/>
              <w:sdtContent>
                <w:r w:rsidRPr="004D17E0">
                  <w:rPr>
                    <w:rStyle w:val="af0"/>
                    <w:b/>
                    <w:bCs/>
                    <w:color w:val="auto"/>
                    <w:rtl/>
                  </w:rPr>
                  <w:t>1</w:t>
                </w:r>
              </w:sdtContent>
            </w:sdt>
            <w:r w:rsidRPr="004D17E0">
              <w:rPr>
                <w:rFonts w:hint="cs"/>
                <w:b/>
                <w:bCs/>
                <w:noProof w:val="0"/>
                <w:sz w:val="26"/>
                <w:szCs w:val="26"/>
                <w:rtl/>
              </w:rPr>
              <w:t xml:space="preserve">. </w:t>
            </w:r>
            <w:sdt>
              <w:sdtPr>
                <w:rPr>
                  <w:rFonts w:hint="cs"/>
                  <w:b/>
                  <w:bCs/>
                  <w:noProof w:val="0"/>
                  <w:rtl/>
                </w:rPr>
                <w:alias w:val="1478"/>
                <w:tag w:val="1478"/>
                <w:id w:val="614022805"/>
                <w:text w:multiLine="1"/>
              </w:sdtPr>
              <w:sdtEndPr/>
              <w:sdtContent>
                <w:r w:rsidR="004D17E0" w:rsidRPr="004D17E0">
                  <w:rPr>
                    <w:rStyle w:val="af0"/>
                    <w:rFonts w:hint="cs"/>
                    <w:b/>
                    <w:bCs/>
                    <w:color w:val="auto"/>
                    <w:rtl/>
                  </w:rPr>
                  <w:t xml:space="preserve">ע. ע. </w:t>
                </w:r>
              </w:sdtContent>
            </w:sdt>
          </w:p>
          <w:p w:rsidR="00A57DDA" w:rsidRPr="004D17E0" w:rsidRDefault="00A57DDA" w:rsidP="004D17E0">
            <w:pPr>
              <w:rPr>
                <w:b/>
                <w:bCs/>
                <w:noProof w:val="0"/>
                <w:rtl/>
              </w:rPr>
            </w:pPr>
            <w:r w:rsidRPr="004D17E0">
              <w:rPr>
                <w:b/>
                <w:bCs/>
                <w:noProof w:val="0"/>
                <w:rtl/>
              </w:rPr>
              <w:t xml:space="preserve"> </w:t>
            </w:r>
            <w:sdt>
              <w:sdtPr>
                <w:rPr>
                  <w:b/>
                  <w:bCs/>
                  <w:noProof w:val="0"/>
                  <w:rtl/>
                </w:rPr>
                <w:alias w:val="1462"/>
                <w:tag w:val="1462"/>
                <w:id w:val="1191955325"/>
                <w:placeholder>
                  <w:docPart w:val="90AA239BEA88497AA277E5C6BCE29BFE"/>
                </w:placeholder>
                <w:text w:multiLine="1"/>
              </w:sdtPr>
              <w:sdtEndPr/>
              <w:sdtContent>
                <w:r w:rsidRPr="004D17E0">
                  <w:rPr>
                    <w:rStyle w:val="af0"/>
                    <w:b/>
                    <w:bCs/>
                    <w:color w:val="auto"/>
                    <w:rtl/>
                  </w:rPr>
                  <w:t>2</w:t>
                </w:r>
              </w:sdtContent>
            </w:sdt>
            <w:r w:rsidRPr="004D17E0">
              <w:rPr>
                <w:rFonts w:hint="cs"/>
                <w:b/>
                <w:bCs/>
                <w:noProof w:val="0"/>
                <w:rtl/>
              </w:rPr>
              <w:t xml:space="preserve">. </w:t>
            </w:r>
            <w:sdt>
              <w:sdtPr>
                <w:rPr>
                  <w:rFonts w:hint="cs"/>
                  <w:b/>
                  <w:bCs/>
                  <w:noProof w:val="0"/>
                  <w:rtl/>
                </w:rPr>
                <w:alias w:val="1478"/>
                <w:tag w:val="1478"/>
                <w:id w:val="-418022308"/>
                <w:text w:multiLine="1"/>
              </w:sdtPr>
              <w:sdtEndPr/>
              <w:sdtContent>
                <w:r w:rsidR="004D17E0" w:rsidRPr="004D17E0">
                  <w:rPr>
                    <w:rStyle w:val="af0"/>
                    <w:b/>
                    <w:bCs/>
                    <w:color w:val="auto"/>
                    <w:rtl/>
                  </w:rPr>
                  <w:t>נ</w:t>
                </w:r>
                <w:r w:rsidR="004D17E0" w:rsidRPr="004D17E0">
                  <w:rPr>
                    <w:rStyle w:val="af0"/>
                    <w:rFonts w:hint="cs"/>
                    <w:b/>
                    <w:bCs/>
                    <w:color w:val="auto"/>
                    <w:rtl/>
                  </w:rPr>
                  <w:t>.</w:t>
                </w:r>
                <w:r w:rsidR="004D17E0" w:rsidRPr="004D17E0">
                  <w:rPr>
                    <w:rStyle w:val="af0"/>
                    <w:b/>
                    <w:bCs/>
                    <w:color w:val="auto"/>
                    <w:rtl/>
                  </w:rPr>
                  <w:t xml:space="preserve"> ב</w:t>
                </w:r>
                <w:r w:rsidR="004D17E0" w:rsidRPr="004D17E0">
                  <w:rPr>
                    <w:rStyle w:val="af0"/>
                    <w:rFonts w:hint="cs"/>
                    <w:b/>
                    <w:bCs/>
                    <w:color w:val="auto"/>
                    <w:rtl/>
                  </w:rPr>
                  <w:t>.</w:t>
                </w:r>
                <w:r w:rsidR="004D17E0" w:rsidRPr="004D17E0">
                  <w:rPr>
                    <w:rStyle w:val="af0"/>
                    <w:b/>
                    <w:bCs/>
                    <w:color w:val="auto"/>
                    <w:rtl/>
                  </w:rPr>
                  <w:t xml:space="preserve"> ש</w:t>
                </w:r>
                <w:r w:rsidR="004D17E0" w:rsidRPr="004D17E0">
                  <w:rPr>
                    <w:rStyle w:val="af0"/>
                    <w:rFonts w:hint="cs"/>
                    <w:b/>
                    <w:bCs/>
                    <w:color w:val="auto"/>
                    <w:rtl/>
                  </w:rPr>
                  <w:t>.</w:t>
                </w:r>
              </w:sdtContent>
            </w:sdt>
          </w:p>
          <w:p w:rsidR="00A57DDA" w:rsidRPr="00E54225" w:rsidRDefault="00A57DDA" w:rsidP="006E0B16">
            <w:pPr>
              <w:rPr>
                <w:noProof w:val="0"/>
                <w:sz w:val="26"/>
                <w:szCs w:val="26"/>
                <w:rtl/>
              </w:rPr>
            </w:pPr>
            <w:r w:rsidRPr="00E54225">
              <w:rPr>
                <w:rFonts w:hint="cs"/>
                <w:noProof w:val="0"/>
                <w:rtl/>
              </w:rPr>
              <w:t>על-ידי ב</w:t>
            </w:r>
            <w:r>
              <w:rPr>
                <w:rFonts w:hint="cs"/>
                <w:noProof w:val="0"/>
                <w:rtl/>
              </w:rPr>
              <w:t xml:space="preserve">א כוחם, עורך דין </w:t>
            </w:r>
            <w:r w:rsidRPr="00E54225">
              <w:rPr>
                <w:rFonts w:hint="cs"/>
                <w:noProof w:val="0"/>
                <w:rtl/>
              </w:rPr>
              <w:t>אפרים דמרי</w:t>
            </w:r>
          </w:p>
        </w:tc>
      </w:tr>
      <w:tr w:rsidR="00A57DDA" w:rsidTr="006E0B16">
        <w:trPr>
          <w:jc w:val="center"/>
        </w:trPr>
        <w:tc>
          <w:tcPr>
            <w:tcW w:w="8820" w:type="dxa"/>
            <w:gridSpan w:val="2"/>
          </w:tcPr>
          <w:p w:rsidR="00A57DDA" w:rsidRDefault="00A57DDA" w:rsidP="006E0B16">
            <w:pPr>
              <w:rPr>
                <w:rFonts w:ascii="Arial" w:hAnsi="Arial"/>
                <w:b/>
                <w:bCs/>
                <w:noProof w:val="0"/>
                <w:sz w:val="26"/>
                <w:szCs w:val="26"/>
                <w:rtl/>
              </w:rPr>
            </w:pPr>
          </w:p>
          <w:p w:rsidR="00A57DDA" w:rsidRDefault="00A57DDA" w:rsidP="006E0B16">
            <w:pPr>
              <w:jc w:val="center"/>
              <w:rPr>
                <w:rFonts w:ascii="Arial" w:hAnsi="Arial"/>
                <w:b/>
                <w:bCs/>
                <w:noProof w:val="0"/>
                <w:sz w:val="26"/>
                <w:szCs w:val="26"/>
                <w:rtl/>
              </w:rPr>
            </w:pPr>
            <w:r>
              <w:rPr>
                <w:rFonts w:ascii="Arial" w:hAnsi="Arial"/>
                <w:b/>
                <w:bCs/>
                <w:noProof w:val="0"/>
                <w:sz w:val="26"/>
                <w:szCs w:val="26"/>
                <w:rtl/>
              </w:rPr>
              <w:t>נגד</w:t>
            </w:r>
          </w:p>
          <w:p w:rsidR="00A57DDA" w:rsidRDefault="00A57DDA" w:rsidP="006E0B16">
            <w:pPr>
              <w:rPr>
                <w:rFonts w:ascii="Arial" w:hAnsi="Arial"/>
                <w:b/>
                <w:bCs/>
                <w:noProof w:val="0"/>
                <w:sz w:val="26"/>
                <w:szCs w:val="26"/>
              </w:rPr>
            </w:pPr>
          </w:p>
        </w:tc>
      </w:tr>
      <w:tr w:rsidR="00A57DDA" w:rsidTr="006E0B16">
        <w:trPr>
          <w:jc w:val="center"/>
        </w:trPr>
        <w:tc>
          <w:tcPr>
            <w:tcW w:w="3249" w:type="dxa"/>
          </w:tcPr>
          <w:p w:rsidR="00A57DDA" w:rsidRDefault="00A57DDA" w:rsidP="006E0B16">
            <w:pPr>
              <w:rPr>
                <w:rFonts w:ascii="Arial" w:hAnsi="Arial"/>
                <w:b/>
                <w:bCs/>
                <w:noProof w:val="0"/>
                <w:sz w:val="26"/>
                <w:szCs w:val="26"/>
              </w:rPr>
            </w:pPr>
            <w:r>
              <w:rPr>
                <w:rFonts w:ascii="Arial" w:hAnsi="Arial" w:hint="cs"/>
                <w:b/>
                <w:bCs/>
                <w:noProof w:val="0"/>
                <w:sz w:val="26"/>
                <w:szCs w:val="26"/>
                <w:rtl/>
              </w:rPr>
              <w:t>הנתבעים:</w:t>
            </w:r>
          </w:p>
        </w:tc>
        <w:tc>
          <w:tcPr>
            <w:tcW w:w="5571" w:type="dxa"/>
          </w:tcPr>
          <w:p w:rsidR="00A57DDA" w:rsidRPr="004D17E0" w:rsidRDefault="00A57DDA" w:rsidP="004D17E0">
            <w:pPr>
              <w:rPr>
                <w:b/>
                <w:bCs/>
                <w:noProof w:val="0"/>
                <w:sz w:val="26"/>
                <w:szCs w:val="26"/>
                <w:rtl/>
              </w:rPr>
            </w:pPr>
            <w:r>
              <w:rPr>
                <w:b/>
                <w:bCs/>
                <w:noProof w:val="0"/>
                <w:sz w:val="26"/>
                <w:szCs w:val="26"/>
                <w:rtl/>
              </w:rPr>
              <w:t xml:space="preserve"> </w:t>
            </w:r>
            <w:sdt>
              <w:sdtPr>
                <w:rPr>
                  <w:b/>
                  <w:bCs/>
                  <w:noProof w:val="0"/>
                  <w:sz w:val="26"/>
                  <w:szCs w:val="26"/>
                  <w:rtl/>
                </w:rPr>
                <w:alias w:val="1571"/>
                <w:tag w:val="1571"/>
                <w:id w:val="715625760"/>
                <w:text w:multiLine="1"/>
              </w:sdtPr>
              <w:sdtEndPr/>
              <w:sdtContent>
                <w:r w:rsidRPr="004D17E0">
                  <w:rPr>
                    <w:rStyle w:val="af0"/>
                    <w:b/>
                    <w:bCs/>
                    <w:color w:val="auto"/>
                    <w:rtl/>
                  </w:rPr>
                  <w:t>1</w:t>
                </w:r>
              </w:sdtContent>
            </w:sdt>
            <w:r w:rsidRPr="004D17E0">
              <w:rPr>
                <w:rFonts w:hint="cs"/>
                <w:b/>
                <w:bCs/>
                <w:noProof w:val="0"/>
                <w:sz w:val="26"/>
                <w:szCs w:val="26"/>
                <w:rtl/>
              </w:rPr>
              <w:t xml:space="preserve">. </w:t>
            </w:r>
            <w:sdt>
              <w:sdtPr>
                <w:rPr>
                  <w:rFonts w:hint="cs"/>
                  <w:b/>
                  <w:bCs/>
                  <w:noProof w:val="0"/>
                  <w:sz w:val="26"/>
                  <w:szCs w:val="26"/>
                  <w:rtl/>
                </w:rPr>
                <w:alias w:val="1486"/>
                <w:tag w:val="1486"/>
                <w:id w:val="-1492704729"/>
                <w:text w:multiLine="1"/>
              </w:sdtPr>
              <w:sdtEndPr/>
              <w:sdtContent>
                <w:r w:rsidR="004D17E0" w:rsidRPr="004D17E0">
                  <w:rPr>
                    <w:rStyle w:val="af0"/>
                    <w:b/>
                    <w:bCs/>
                    <w:color w:val="auto"/>
                    <w:rtl/>
                  </w:rPr>
                  <w:t>א</w:t>
                </w:r>
                <w:r w:rsidR="004D17E0" w:rsidRPr="004D17E0">
                  <w:rPr>
                    <w:rStyle w:val="af0"/>
                    <w:rFonts w:hint="cs"/>
                    <w:b/>
                    <w:bCs/>
                    <w:color w:val="auto"/>
                    <w:rtl/>
                  </w:rPr>
                  <w:t>.</w:t>
                </w:r>
                <w:r w:rsidR="004D17E0" w:rsidRPr="004D17E0">
                  <w:rPr>
                    <w:rStyle w:val="af0"/>
                    <w:b/>
                    <w:bCs/>
                    <w:color w:val="auto"/>
                    <w:rtl/>
                  </w:rPr>
                  <w:t xml:space="preserve"> ע</w:t>
                </w:r>
                <w:r w:rsidR="004D17E0" w:rsidRPr="004D17E0">
                  <w:rPr>
                    <w:rStyle w:val="af0"/>
                    <w:rFonts w:hint="cs"/>
                    <w:b/>
                    <w:bCs/>
                    <w:color w:val="auto"/>
                    <w:rtl/>
                  </w:rPr>
                  <w:t>.</w:t>
                </w:r>
              </w:sdtContent>
            </w:sdt>
          </w:p>
          <w:p w:rsidR="00A57DDA" w:rsidRPr="004D17E0" w:rsidRDefault="00A57DDA" w:rsidP="004D17E0">
            <w:pPr>
              <w:rPr>
                <w:b/>
                <w:bCs/>
                <w:noProof w:val="0"/>
                <w:sz w:val="26"/>
                <w:szCs w:val="26"/>
                <w:rtl/>
              </w:rPr>
            </w:pPr>
            <w:r w:rsidRPr="004D17E0">
              <w:rPr>
                <w:b/>
                <w:bCs/>
                <w:noProof w:val="0"/>
                <w:sz w:val="26"/>
                <w:szCs w:val="26"/>
                <w:rtl/>
              </w:rPr>
              <w:t xml:space="preserve"> </w:t>
            </w:r>
            <w:sdt>
              <w:sdtPr>
                <w:rPr>
                  <w:b/>
                  <w:bCs/>
                  <w:noProof w:val="0"/>
                  <w:sz w:val="26"/>
                  <w:szCs w:val="26"/>
                  <w:rtl/>
                </w:rPr>
                <w:alias w:val="1571"/>
                <w:tag w:val="1571"/>
                <w:id w:val="39873181"/>
                <w:text w:multiLine="1"/>
              </w:sdtPr>
              <w:sdtEndPr/>
              <w:sdtContent>
                <w:r w:rsidRPr="004D17E0">
                  <w:rPr>
                    <w:rStyle w:val="af0"/>
                    <w:b/>
                    <w:bCs/>
                    <w:color w:val="auto"/>
                    <w:rtl/>
                  </w:rPr>
                  <w:t>2</w:t>
                </w:r>
              </w:sdtContent>
            </w:sdt>
            <w:r w:rsidRPr="004D17E0">
              <w:rPr>
                <w:rFonts w:hint="cs"/>
                <w:b/>
                <w:bCs/>
                <w:noProof w:val="0"/>
                <w:sz w:val="26"/>
                <w:szCs w:val="26"/>
                <w:rtl/>
              </w:rPr>
              <w:t xml:space="preserve">. </w:t>
            </w:r>
            <w:sdt>
              <w:sdtPr>
                <w:rPr>
                  <w:rFonts w:hint="cs"/>
                  <w:b/>
                  <w:bCs/>
                  <w:noProof w:val="0"/>
                  <w:sz w:val="26"/>
                  <w:szCs w:val="26"/>
                  <w:rtl/>
                </w:rPr>
                <w:alias w:val="1486"/>
                <w:tag w:val="1486"/>
                <w:id w:val="1526138799"/>
                <w:text w:multiLine="1"/>
              </w:sdtPr>
              <w:sdtEndPr/>
              <w:sdtContent>
                <w:r w:rsidR="004D17E0" w:rsidRPr="004D17E0">
                  <w:rPr>
                    <w:rStyle w:val="af0"/>
                    <w:b/>
                    <w:bCs/>
                    <w:color w:val="auto"/>
                    <w:rtl/>
                  </w:rPr>
                  <w:t>ר</w:t>
                </w:r>
                <w:r w:rsidR="004D17E0" w:rsidRPr="004D17E0">
                  <w:rPr>
                    <w:rStyle w:val="af0"/>
                    <w:rFonts w:hint="cs"/>
                    <w:b/>
                    <w:bCs/>
                    <w:color w:val="auto"/>
                    <w:rtl/>
                  </w:rPr>
                  <w:t>.</w:t>
                </w:r>
                <w:r w:rsidR="004D17E0" w:rsidRPr="004D17E0">
                  <w:rPr>
                    <w:rStyle w:val="af0"/>
                    <w:b/>
                    <w:bCs/>
                    <w:color w:val="auto"/>
                    <w:rtl/>
                  </w:rPr>
                  <w:t xml:space="preserve"> ע</w:t>
                </w:r>
                <w:r w:rsidR="004D17E0" w:rsidRPr="004D17E0">
                  <w:rPr>
                    <w:rStyle w:val="af0"/>
                    <w:rFonts w:hint="cs"/>
                    <w:b/>
                    <w:bCs/>
                    <w:color w:val="auto"/>
                    <w:rtl/>
                  </w:rPr>
                  <w:t>.</w:t>
                </w:r>
              </w:sdtContent>
            </w:sdt>
          </w:p>
          <w:p w:rsidR="00A57DDA" w:rsidRPr="00E54225" w:rsidRDefault="00A57DDA" w:rsidP="006E0B16">
            <w:pPr>
              <w:rPr>
                <w:noProof w:val="0"/>
                <w:sz w:val="26"/>
                <w:szCs w:val="26"/>
                <w:rtl/>
              </w:rPr>
            </w:pPr>
            <w:r w:rsidRPr="00E54225">
              <w:rPr>
                <w:rFonts w:hint="cs"/>
                <w:noProof w:val="0"/>
                <w:rtl/>
              </w:rPr>
              <w:t>על-ידי ב</w:t>
            </w:r>
            <w:r>
              <w:rPr>
                <w:rFonts w:hint="cs"/>
                <w:noProof w:val="0"/>
                <w:rtl/>
              </w:rPr>
              <w:t xml:space="preserve">א כוחם, עורך דין </w:t>
            </w:r>
            <w:r w:rsidRPr="00E54225">
              <w:rPr>
                <w:rFonts w:hint="cs"/>
                <w:noProof w:val="0"/>
                <w:rtl/>
              </w:rPr>
              <w:t>נתן-שמואל נחשון</w:t>
            </w:r>
          </w:p>
        </w:tc>
      </w:tr>
    </w:tbl>
    <w:p w:rsidR="00A57DDA" w:rsidRPr="00E54225" w:rsidRDefault="00A57DDA" w:rsidP="00A57DDA"/>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A57DDA" w:rsidTr="006E0B16">
        <w:trPr>
          <w:jc w:val="center"/>
        </w:trPr>
        <w:tc>
          <w:tcPr>
            <w:tcW w:w="8820" w:type="dxa"/>
          </w:tcPr>
          <w:p w:rsidR="00A57DDA" w:rsidRDefault="00A57DDA" w:rsidP="006E0B16">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A57DDA" w:rsidRDefault="00A57DDA" w:rsidP="00A57DDA">
      <w:pPr>
        <w:spacing w:line="360" w:lineRule="auto"/>
        <w:jc w:val="both"/>
        <w:rPr>
          <w:rFonts w:ascii="Arial" w:hAnsi="Arial"/>
          <w:noProof w:val="0"/>
          <w:rtl/>
        </w:rPr>
      </w:pPr>
    </w:p>
    <w:p w:rsidR="00A57DDA" w:rsidRPr="00E54225" w:rsidRDefault="00A57DDA" w:rsidP="00A57DDA">
      <w:pPr>
        <w:spacing w:line="360" w:lineRule="auto"/>
        <w:jc w:val="both"/>
        <w:rPr>
          <w:rFonts w:ascii="Arial" w:hAnsi="Arial"/>
          <w:b/>
          <w:bCs/>
          <w:noProof w:val="0"/>
          <w:u w:val="single"/>
          <w:rtl/>
        </w:rPr>
      </w:pPr>
      <w:r w:rsidRPr="00E54225">
        <w:rPr>
          <w:rFonts w:ascii="Arial" w:hAnsi="Arial" w:hint="cs"/>
          <w:b/>
          <w:bCs/>
          <w:noProof w:val="0"/>
          <w:u w:val="single"/>
          <w:rtl/>
        </w:rPr>
        <w:t>ההליך</w:t>
      </w: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התובענה שלפניי, לה נספחים עוד 12 תיקים קשורים (אשר הלכו ונפתחו בהמשך), נפתחה עוד ביום 15.09.2016 כתביעת אח ורעייתו כנגד שני אחים אחרים והוגדרה כעתירה למתן פסק דין הצהרתי שעננינו "ביטול מתנה". </w:t>
      </w:r>
    </w:p>
    <w:p w:rsidR="00A57DDA" w:rsidRDefault="00A57DDA" w:rsidP="00A57DDA">
      <w:pPr>
        <w:pStyle w:val="af1"/>
        <w:spacing w:line="360" w:lineRule="auto"/>
        <w:ind w:left="360"/>
        <w:jc w:val="both"/>
        <w:rPr>
          <w:rFonts w:ascii="Arial" w:hAnsi="Arial"/>
          <w:noProof w:val="0"/>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בתיק הוגשו 80 בקשות, נוהלו 22 פרוטוקולים, תיק הנייר מונה 560 מסמכים וניתנו 176 החלטות. </w:t>
      </w:r>
    </w:p>
    <w:p w:rsidR="00A57DDA" w:rsidRPr="00183543" w:rsidRDefault="00A57DDA" w:rsidP="00A57DDA">
      <w:pPr>
        <w:pStyle w:val="af1"/>
        <w:rPr>
          <w:rFonts w:ascii="Arial" w:hAnsi="Arial"/>
          <w:noProof w:val="0"/>
          <w:rtl/>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וכך, בין השאר, סיפר כבוד השופט נפתלי שילה, אגב </w:t>
      </w:r>
      <w:r w:rsidRPr="00183543">
        <w:rPr>
          <w:rFonts w:ascii="Arial" w:hAnsi="Arial" w:hint="cs"/>
          <w:b/>
          <w:bCs/>
          <w:noProof w:val="0"/>
          <w:rtl/>
        </w:rPr>
        <w:t>רמ"ש 22556-07-18</w:t>
      </w:r>
      <w:r>
        <w:rPr>
          <w:rFonts w:ascii="Arial" w:hAnsi="Arial" w:hint="cs"/>
          <w:noProof w:val="0"/>
          <w:rtl/>
        </w:rPr>
        <w:t xml:space="preserve"> מתולדותיו של התיק: </w:t>
      </w:r>
    </w:p>
    <w:p w:rsidR="00A57DDA" w:rsidRDefault="00A57DDA" w:rsidP="00A57DDA">
      <w:pPr>
        <w:rPr>
          <w:rFonts w:ascii="Arial" w:hAnsi="Arial"/>
          <w:noProof w:val="0"/>
          <w:rtl/>
        </w:rPr>
      </w:pPr>
    </w:p>
    <w:p w:rsidR="00A57DDA" w:rsidRPr="007A1B63" w:rsidRDefault="00A57DDA" w:rsidP="004D17E0">
      <w:pPr>
        <w:spacing w:line="360" w:lineRule="auto"/>
        <w:ind w:left="1559" w:hanging="425"/>
        <w:jc w:val="both"/>
        <w:rPr>
          <w:rFonts w:ascii="Arial" w:hAnsi="Arial"/>
          <w:b/>
          <w:bCs/>
          <w:i/>
          <w:iCs/>
          <w:noProof w:val="0"/>
          <w:rtl/>
        </w:rPr>
      </w:pPr>
      <w:r>
        <w:rPr>
          <w:rFonts w:ascii="Arial" w:hAnsi="Arial" w:hint="cs"/>
          <w:b/>
          <w:bCs/>
          <w:i/>
          <w:iCs/>
          <w:noProof w:val="0"/>
          <w:rtl/>
        </w:rPr>
        <w:t>"</w:t>
      </w:r>
      <w:r w:rsidRPr="007A1B63">
        <w:rPr>
          <w:rFonts w:ascii="Arial" w:hAnsi="Arial"/>
          <w:b/>
          <w:bCs/>
          <w:i/>
          <w:iCs/>
          <w:noProof w:val="0"/>
          <w:rtl/>
        </w:rPr>
        <w:t>1.</w:t>
      </w:r>
      <w:r w:rsidRPr="007A1B63">
        <w:rPr>
          <w:rFonts w:ascii="Arial" w:hAnsi="Arial"/>
          <w:b/>
          <w:bCs/>
          <w:i/>
          <w:iCs/>
          <w:noProof w:val="0"/>
          <w:rtl/>
        </w:rPr>
        <w:tab/>
        <w:t xml:space="preserve">הצדדים הם אחים, ילדיה של המנוחה </w:t>
      </w:r>
      <w:r w:rsidR="004D17E0">
        <w:rPr>
          <w:rFonts w:ascii="Arial" w:hAnsi="Arial" w:hint="cs"/>
          <w:b/>
          <w:bCs/>
          <w:i/>
          <w:iCs/>
          <w:noProof w:val="0"/>
          <w:rtl/>
        </w:rPr>
        <w:t>...</w:t>
      </w:r>
      <w:r w:rsidRPr="007A1B63">
        <w:rPr>
          <w:rFonts w:ascii="Arial" w:hAnsi="Arial"/>
          <w:b/>
          <w:bCs/>
          <w:i/>
          <w:iCs/>
          <w:noProof w:val="0"/>
          <w:rtl/>
        </w:rPr>
        <w:t xml:space="preserve"> ז"ל (להלן: "המנוחה").</w:t>
      </w:r>
    </w:p>
    <w:p w:rsidR="00A57DDA" w:rsidRPr="007A1B63" w:rsidRDefault="00A57DDA" w:rsidP="00A57DDA">
      <w:pPr>
        <w:spacing w:line="360" w:lineRule="auto"/>
        <w:ind w:left="1559" w:hanging="425"/>
        <w:jc w:val="both"/>
        <w:rPr>
          <w:rFonts w:ascii="Arial" w:hAnsi="Arial"/>
          <w:b/>
          <w:bCs/>
          <w:i/>
          <w:iCs/>
          <w:noProof w:val="0"/>
          <w:rtl/>
        </w:rPr>
      </w:pPr>
    </w:p>
    <w:p w:rsidR="00A57DDA" w:rsidRPr="007A1B63" w:rsidRDefault="00A57DDA" w:rsidP="004D17E0">
      <w:pPr>
        <w:spacing w:line="360" w:lineRule="auto"/>
        <w:ind w:left="1559" w:hanging="425"/>
        <w:jc w:val="both"/>
        <w:rPr>
          <w:rFonts w:ascii="Arial" w:hAnsi="Arial"/>
          <w:b/>
          <w:bCs/>
          <w:i/>
          <w:iCs/>
          <w:noProof w:val="0"/>
          <w:rtl/>
        </w:rPr>
      </w:pPr>
      <w:r w:rsidRPr="007A1B63">
        <w:rPr>
          <w:rFonts w:ascii="Arial" w:hAnsi="Arial"/>
          <w:b/>
          <w:bCs/>
          <w:i/>
          <w:iCs/>
          <w:noProof w:val="0"/>
          <w:rtl/>
        </w:rPr>
        <w:t>2.</w:t>
      </w:r>
      <w:r w:rsidRPr="007A1B63">
        <w:rPr>
          <w:rFonts w:ascii="Arial" w:hAnsi="Arial"/>
          <w:b/>
          <w:bCs/>
          <w:i/>
          <w:iCs/>
          <w:noProof w:val="0"/>
          <w:rtl/>
        </w:rPr>
        <w:tab/>
        <w:t xml:space="preserve">המשיבים (להן גם: "התובעים") הגישה לבהמ"ש קמא תביעה כנגד המבקש (להלן גם: "הנתבע") שבמסגרתה עתרו לביטול  תצהיר מתנה שעליו חתמה המנוחה ולפיה היא העניקה לנתבע את זכויותיה בבניין </w:t>
      </w:r>
      <w:r w:rsidR="004D17E0">
        <w:rPr>
          <w:rFonts w:ascii="Arial" w:hAnsi="Arial" w:hint="cs"/>
          <w:b/>
          <w:bCs/>
          <w:i/>
          <w:iCs/>
          <w:noProof w:val="0"/>
          <w:rtl/>
        </w:rPr>
        <w:t>ב....</w:t>
      </w:r>
      <w:r w:rsidRPr="007A1B63">
        <w:rPr>
          <w:rFonts w:ascii="Arial" w:hAnsi="Arial"/>
          <w:b/>
          <w:bCs/>
          <w:i/>
          <w:iCs/>
          <w:noProof w:val="0"/>
          <w:rtl/>
        </w:rPr>
        <w:t>. לטענתם, תצהיר המתנה נחתם תוך השפעה בלתי הוגנת והטעייה מצדו של הנתבע.</w:t>
      </w:r>
    </w:p>
    <w:p w:rsidR="00A57DDA" w:rsidRPr="007A1B63" w:rsidRDefault="00A57DDA" w:rsidP="00A57DDA">
      <w:pPr>
        <w:spacing w:line="360" w:lineRule="auto"/>
        <w:ind w:left="1559" w:hanging="425"/>
        <w:jc w:val="both"/>
        <w:rPr>
          <w:rFonts w:ascii="Arial" w:hAnsi="Arial"/>
          <w:b/>
          <w:bCs/>
          <w:i/>
          <w:iCs/>
          <w:noProof w:val="0"/>
          <w:rtl/>
        </w:rPr>
      </w:pPr>
    </w:p>
    <w:p w:rsidR="00A57DDA" w:rsidRPr="007A1B63" w:rsidRDefault="00A57DDA" w:rsidP="00A57DDA">
      <w:pPr>
        <w:spacing w:line="360" w:lineRule="auto"/>
        <w:ind w:left="1559" w:hanging="425"/>
        <w:jc w:val="both"/>
        <w:rPr>
          <w:rFonts w:ascii="Arial" w:hAnsi="Arial"/>
          <w:b/>
          <w:bCs/>
          <w:i/>
          <w:iCs/>
          <w:noProof w:val="0"/>
          <w:rtl/>
        </w:rPr>
      </w:pPr>
      <w:r w:rsidRPr="007A1B63">
        <w:rPr>
          <w:rFonts w:ascii="Arial" w:hAnsi="Arial"/>
          <w:b/>
          <w:bCs/>
          <w:i/>
          <w:iCs/>
          <w:noProof w:val="0"/>
          <w:rtl/>
        </w:rPr>
        <w:t>3.</w:t>
      </w:r>
      <w:r w:rsidRPr="007A1B63">
        <w:rPr>
          <w:rFonts w:ascii="Arial" w:hAnsi="Arial"/>
          <w:b/>
          <w:bCs/>
          <w:i/>
          <w:iCs/>
          <w:noProof w:val="0"/>
          <w:rtl/>
        </w:rPr>
        <w:tab/>
        <w:t>המבקש הגיש לבהמ"ש קמא בקשה למחיקת סעיפים והשמטת מסמכים שהוגשו במסגרת תצהיר עדות ראשית שהגישו התובעים בבהמ"ש קמא, מאחר שלטענתו מדובר במסמכים שיש לאסור את הגשתם, היות שהם נערכו במסגרת מו"מ לפשרה והליכי גישור.</w:t>
      </w:r>
    </w:p>
    <w:p w:rsidR="00A57DDA" w:rsidRPr="007A1B63" w:rsidRDefault="00A57DDA" w:rsidP="00A57DDA">
      <w:pPr>
        <w:spacing w:line="360" w:lineRule="auto"/>
        <w:ind w:left="1559" w:hanging="425"/>
        <w:jc w:val="both"/>
        <w:rPr>
          <w:rFonts w:ascii="Arial" w:hAnsi="Arial"/>
          <w:b/>
          <w:bCs/>
          <w:i/>
          <w:iCs/>
          <w:noProof w:val="0"/>
          <w:rtl/>
        </w:rPr>
      </w:pPr>
    </w:p>
    <w:p w:rsidR="00A57DDA" w:rsidRPr="007A1B63" w:rsidRDefault="00A57DDA" w:rsidP="00A57DDA">
      <w:pPr>
        <w:spacing w:line="360" w:lineRule="auto"/>
        <w:ind w:left="1559" w:hanging="425"/>
        <w:jc w:val="both"/>
        <w:rPr>
          <w:rFonts w:ascii="Arial" w:hAnsi="Arial"/>
          <w:b/>
          <w:bCs/>
          <w:i/>
          <w:iCs/>
          <w:noProof w:val="0"/>
          <w:rtl/>
        </w:rPr>
      </w:pPr>
      <w:r w:rsidRPr="007A1B63">
        <w:rPr>
          <w:rFonts w:ascii="Arial" w:hAnsi="Arial"/>
          <w:b/>
          <w:bCs/>
          <w:i/>
          <w:iCs/>
          <w:noProof w:val="0"/>
          <w:rtl/>
        </w:rPr>
        <w:t>4.</w:t>
      </w:r>
      <w:r w:rsidRPr="007A1B63">
        <w:rPr>
          <w:rFonts w:ascii="Arial" w:hAnsi="Arial"/>
          <w:b/>
          <w:bCs/>
          <w:i/>
          <w:iCs/>
          <w:noProof w:val="0"/>
          <w:rtl/>
        </w:rPr>
        <w:tab/>
        <w:t xml:space="preserve">בהמ"ש קמא דחה את הבקשה והמבקש הגיש בקשת רשות ערעור לבית משפט זה על ההחלטה ועל החלטות נוספות שאינן רלוונטיות לעניינינו. </w:t>
      </w:r>
    </w:p>
    <w:p w:rsidR="00A57DDA" w:rsidRPr="007A1B63" w:rsidRDefault="00A57DDA" w:rsidP="00A57DDA">
      <w:pPr>
        <w:spacing w:line="360" w:lineRule="auto"/>
        <w:ind w:left="1559" w:hanging="425"/>
        <w:jc w:val="both"/>
        <w:rPr>
          <w:rFonts w:ascii="Arial" w:hAnsi="Arial"/>
          <w:b/>
          <w:bCs/>
          <w:i/>
          <w:iCs/>
          <w:noProof w:val="0"/>
          <w:rtl/>
        </w:rPr>
      </w:pPr>
    </w:p>
    <w:p w:rsidR="00A57DDA" w:rsidRPr="007A1B63" w:rsidRDefault="00A57DDA" w:rsidP="00A57DDA">
      <w:pPr>
        <w:spacing w:line="360" w:lineRule="auto"/>
        <w:ind w:left="1559" w:hanging="425"/>
        <w:jc w:val="both"/>
        <w:rPr>
          <w:rFonts w:ascii="Arial" w:hAnsi="Arial"/>
          <w:b/>
          <w:bCs/>
          <w:i/>
          <w:iCs/>
          <w:noProof w:val="0"/>
          <w:rtl/>
        </w:rPr>
      </w:pPr>
      <w:r w:rsidRPr="007A1B63">
        <w:rPr>
          <w:rFonts w:ascii="Arial" w:hAnsi="Arial"/>
          <w:b/>
          <w:bCs/>
          <w:i/>
          <w:iCs/>
          <w:noProof w:val="0"/>
          <w:rtl/>
        </w:rPr>
        <w:lastRenderedPageBreak/>
        <w:t>5.</w:t>
      </w:r>
      <w:r w:rsidRPr="007A1B63">
        <w:rPr>
          <w:rFonts w:ascii="Arial" w:hAnsi="Arial"/>
          <w:b/>
          <w:bCs/>
          <w:i/>
          <w:iCs/>
          <w:noProof w:val="0"/>
          <w:rtl/>
        </w:rPr>
        <w:tab/>
        <w:t xml:space="preserve">ביום 17.12.17  קיבל כב' השופט גייפמן את הערעור וקבע כי הדיון בנושא יוחזר לבהמ"ש קמא "וזאת כדי שייתן החלטה בבקשה לאחר קיום דיון במעמד הצדדים" (להלן: "פסק הדין"). </w:t>
      </w:r>
    </w:p>
    <w:p w:rsidR="00A57DDA" w:rsidRPr="007A1B63" w:rsidRDefault="00A57DDA" w:rsidP="00A57DDA">
      <w:pPr>
        <w:spacing w:line="360" w:lineRule="auto"/>
        <w:ind w:left="1559" w:hanging="425"/>
        <w:jc w:val="both"/>
        <w:rPr>
          <w:rFonts w:ascii="Arial" w:hAnsi="Arial"/>
          <w:b/>
          <w:bCs/>
          <w:i/>
          <w:iCs/>
          <w:noProof w:val="0"/>
          <w:rtl/>
        </w:rPr>
      </w:pPr>
      <w:r w:rsidRPr="007A1B63">
        <w:rPr>
          <w:rFonts w:ascii="Arial" w:hAnsi="Arial"/>
          <w:b/>
          <w:bCs/>
          <w:i/>
          <w:iCs/>
          <w:noProof w:val="0"/>
          <w:rtl/>
        </w:rPr>
        <w:tab/>
      </w:r>
    </w:p>
    <w:p w:rsidR="00A57DDA" w:rsidRPr="007A1B63" w:rsidRDefault="00A57DDA" w:rsidP="00A57DDA">
      <w:pPr>
        <w:spacing w:line="360" w:lineRule="auto"/>
        <w:ind w:left="1559" w:hanging="425"/>
        <w:jc w:val="both"/>
        <w:rPr>
          <w:rFonts w:ascii="Arial" w:hAnsi="Arial"/>
          <w:b/>
          <w:bCs/>
          <w:i/>
          <w:iCs/>
          <w:noProof w:val="0"/>
          <w:rtl/>
        </w:rPr>
      </w:pPr>
      <w:r w:rsidRPr="007A1B63">
        <w:rPr>
          <w:rFonts w:ascii="Arial" w:hAnsi="Arial"/>
          <w:b/>
          <w:bCs/>
          <w:i/>
          <w:iCs/>
          <w:noProof w:val="0"/>
          <w:rtl/>
        </w:rPr>
        <w:t>6.</w:t>
      </w:r>
      <w:r w:rsidRPr="007A1B63">
        <w:rPr>
          <w:rFonts w:ascii="Arial" w:hAnsi="Arial"/>
          <w:b/>
          <w:bCs/>
          <w:i/>
          <w:iCs/>
          <w:noProof w:val="0"/>
          <w:rtl/>
        </w:rPr>
        <w:tab/>
        <w:t>בעקבות פסק הדין, התקיים ביום 1.3.18 דיון בהמ"ש קמא, שבמהלכו ביקש ב"כ המבקש לחקור את שני התובעים (עמ' 57 שורה 6). בסיומו של הדיון, הורה בהמ"ש קמא לצדדים להגיש ניירות עמדה והוא אף קבע כי על המבקש לנמק "אילו עדים מבקש הוא לחקור ולצורך מה". בסיום החלטתו, קבע בהמ"ש קמא כי:</w:t>
      </w:r>
    </w:p>
    <w:p w:rsidR="00A57DDA" w:rsidRPr="007A1B63" w:rsidRDefault="00A57DDA" w:rsidP="00A57DDA">
      <w:pPr>
        <w:spacing w:line="360" w:lineRule="auto"/>
        <w:ind w:left="2160"/>
        <w:jc w:val="both"/>
        <w:rPr>
          <w:rFonts w:ascii="Arial" w:hAnsi="Arial"/>
          <w:b/>
          <w:bCs/>
          <w:i/>
          <w:iCs/>
          <w:noProof w:val="0"/>
          <w:rtl/>
        </w:rPr>
      </w:pPr>
      <w:r w:rsidRPr="007A1B63">
        <w:rPr>
          <w:rFonts w:ascii="Arial" w:hAnsi="Arial"/>
          <w:b/>
          <w:bCs/>
          <w:i/>
          <w:iCs/>
          <w:noProof w:val="0"/>
          <w:rtl/>
        </w:rPr>
        <w:t xml:space="preserve">"מאליו ברור שהדין אוסר על הצגת מסמכים מתוך גישור ואין דומה גם גישור שהשתכלל לכלל הסכם  לגישור שלא השתכלל לכלל הסכם. לשם בירור הסוגיה מה נכלל ומה לא נכלל בעניין שבפניי, נדרשים ניירות עמדה".      </w:t>
      </w:r>
    </w:p>
    <w:p w:rsidR="00A57DDA" w:rsidRPr="007A1B63" w:rsidRDefault="00A57DDA" w:rsidP="00A57DDA">
      <w:pPr>
        <w:spacing w:line="360" w:lineRule="auto"/>
        <w:ind w:left="1559" w:hanging="425"/>
        <w:jc w:val="both"/>
        <w:rPr>
          <w:rFonts w:ascii="Arial" w:hAnsi="Arial"/>
          <w:b/>
          <w:bCs/>
          <w:i/>
          <w:iCs/>
          <w:noProof w:val="0"/>
          <w:rtl/>
        </w:rPr>
      </w:pPr>
    </w:p>
    <w:p w:rsidR="00A57DDA" w:rsidRPr="007A1B63" w:rsidRDefault="00A57DDA" w:rsidP="00A57DDA">
      <w:pPr>
        <w:spacing w:line="360" w:lineRule="auto"/>
        <w:ind w:left="1559" w:hanging="425"/>
        <w:jc w:val="both"/>
        <w:rPr>
          <w:rFonts w:ascii="Arial" w:hAnsi="Arial"/>
          <w:b/>
          <w:bCs/>
          <w:i/>
          <w:iCs/>
          <w:noProof w:val="0"/>
          <w:rtl/>
        </w:rPr>
      </w:pPr>
      <w:r w:rsidRPr="007A1B63">
        <w:rPr>
          <w:rFonts w:ascii="Arial" w:hAnsi="Arial"/>
          <w:b/>
          <w:bCs/>
          <w:i/>
          <w:iCs/>
          <w:noProof w:val="0"/>
          <w:rtl/>
        </w:rPr>
        <w:t>7.</w:t>
      </w:r>
      <w:r w:rsidRPr="007A1B63">
        <w:rPr>
          <w:rFonts w:ascii="Arial" w:hAnsi="Arial"/>
          <w:b/>
          <w:bCs/>
          <w:i/>
          <w:iCs/>
          <w:noProof w:val="0"/>
          <w:rtl/>
        </w:rPr>
        <w:tab/>
        <w:t>לאחר שהצדדים הגישו ניירות עמדה, ניתנה ביום 10.6.18 החלטתו של בהמ"ש קמא (להלן: "ההחלטה"), שהיא נשוא בקשת רשות ערעור זו.</w:t>
      </w:r>
    </w:p>
    <w:p w:rsidR="00A57DDA" w:rsidRPr="007A1B63" w:rsidRDefault="00A57DDA" w:rsidP="00A57DDA">
      <w:pPr>
        <w:spacing w:line="360" w:lineRule="auto"/>
        <w:ind w:left="1559" w:hanging="425"/>
        <w:jc w:val="both"/>
        <w:rPr>
          <w:rFonts w:ascii="Arial" w:hAnsi="Arial"/>
          <w:b/>
          <w:bCs/>
          <w:i/>
          <w:iCs/>
          <w:noProof w:val="0"/>
          <w:rtl/>
        </w:rPr>
      </w:pPr>
    </w:p>
    <w:p w:rsidR="00A57DDA" w:rsidRPr="007A1B63" w:rsidRDefault="00A57DDA" w:rsidP="004D17E0">
      <w:pPr>
        <w:spacing w:line="360" w:lineRule="auto"/>
        <w:ind w:left="1559" w:hanging="425"/>
        <w:jc w:val="both"/>
        <w:rPr>
          <w:rFonts w:ascii="Arial" w:hAnsi="Arial"/>
          <w:b/>
          <w:bCs/>
          <w:i/>
          <w:iCs/>
          <w:noProof w:val="0"/>
          <w:rtl/>
        </w:rPr>
      </w:pPr>
      <w:r w:rsidRPr="007A1B63">
        <w:rPr>
          <w:rFonts w:ascii="Arial" w:hAnsi="Arial"/>
          <w:b/>
          <w:bCs/>
          <w:i/>
          <w:iCs/>
          <w:noProof w:val="0"/>
          <w:rtl/>
        </w:rPr>
        <w:t>8.</w:t>
      </w:r>
      <w:r w:rsidRPr="007A1B63">
        <w:rPr>
          <w:rFonts w:ascii="Arial" w:hAnsi="Arial"/>
          <w:b/>
          <w:bCs/>
          <w:i/>
          <w:iCs/>
          <w:noProof w:val="0"/>
          <w:rtl/>
        </w:rPr>
        <w:tab/>
        <w:t xml:space="preserve">אחד משני המסמכים שהמבקש התנגד להגשתם, הוא תמליל שיחה שלטענתו התקיימה במסגרת מו"מ לפשרה אצל עו"ד </w:t>
      </w:r>
      <w:r w:rsidR="004D17E0">
        <w:rPr>
          <w:rFonts w:ascii="Arial" w:hAnsi="Arial" w:hint="cs"/>
          <w:b/>
          <w:bCs/>
          <w:i/>
          <w:iCs/>
          <w:noProof w:val="0"/>
          <w:rtl/>
        </w:rPr>
        <w:t>...</w:t>
      </w:r>
      <w:r w:rsidRPr="007A1B63">
        <w:rPr>
          <w:rFonts w:ascii="Arial" w:hAnsi="Arial"/>
          <w:b/>
          <w:bCs/>
          <w:i/>
          <w:iCs/>
          <w:noProof w:val="0"/>
          <w:rtl/>
        </w:rPr>
        <w:t xml:space="preserve"> ז"ל, שלדבריו שימש כמגשר בין הצדדים. המשיבים טענו ביחס לתמליל זה בסעיף 21 לנייר העמדה שהגישו כי:</w:t>
      </w:r>
    </w:p>
    <w:p w:rsidR="00A57DDA" w:rsidRPr="007A1B63" w:rsidRDefault="00A57DDA" w:rsidP="00A57DDA">
      <w:pPr>
        <w:spacing w:line="360" w:lineRule="auto"/>
        <w:ind w:left="1559" w:hanging="425"/>
        <w:jc w:val="both"/>
        <w:rPr>
          <w:rFonts w:ascii="Arial" w:hAnsi="Arial"/>
          <w:b/>
          <w:bCs/>
          <w:i/>
          <w:iCs/>
          <w:noProof w:val="0"/>
          <w:rtl/>
        </w:rPr>
      </w:pPr>
    </w:p>
    <w:p w:rsidR="00A57DDA" w:rsidRPr="007A1B63" w:rsidRDefault="00A57DDA" w:rsidP="004D17E0">
      <w:pPr>
        <w:spacing w:line="360" w:lineRule="auto"/>
        <w:ind w:left="2160"/>
        <w:jc w:val="both"/>
        <w:rPr>
          <w:rFonts w:ascii="Arial" w:hAnsi="Arial"/>
          <w:b/>
          <w:bCs/>
          <w:i/>
          <w:iCs/>
          <w:noProof w:val="0"/>
          <w:rtl/>
        </w:rPr>
      </w:pPr>
      <w:r w:rsidRPr="007A1B63">
        <w:rPr>
          <w:rFonts w:ascii="Arial" w:hAnsi="Arial"/>
          <w:b/>
          <w:bCs/>
          <w:i/>
          <w:iCs/>
          <w:noProof w:val="0"/>
          <w:rtl/>
        </w:rPr>
        <w:t xml:space="preserve">"התובעים המומים מטענתו השקרית של הנתבע כי השיחה המוקלטת התקיימה במהלך פגישה במשרדו של עו"ד </w:t>
      </w:r>
      <w:r w:rsidR="004D17E0">
        <w:rPr>
          <w:rFonts w:ascii="Arial" w:hAnsi="Arial" w:hint="cs"/>
          <w:b/>
          <w:bCs/>
          <w:i/>
          <w:iCs/>
          <w:noProof w:val="0"/>
          <w:rtl/>
        </w:rPr>
        <w:t>...</w:t>
      </w:r>
      <w:r w:rsidRPr="007A1B63">
        <w:rPr>
          <w:rFonts w:ascii="Arial" w:hAnsi="Arial"/>
          <w:b/>
          <w:bCs/>
          <w:i/>
          <w:iCs/>
          <w:noProof w:val="0"/>
          <w:rtl/>
        </w:rPr>
        <w:t>, זאת, למרות שברור כי הת</w:t>
      </w:r>
      <w:r w:rsidR="004D17E0">
        <w:rPr>
          <w:rFonts w:ascii="Arial" w:hAnsi="Arial"/>
          <w:b/>
          <w:bCs/>
          <w:i/>
          <w:iCs/>
          <w:noProof w:val="0"/>
          <w:rtl/>
        </w:rPr>
        <w:t>קיימה בבית ההורים המנוחים ב</w:t>
      </w:r>
      <w:r w:rsidRPr="007A1B63">
        <w:rPr>
          <w:rFonts w:ascii="Arial" w:hAnsi="Arial"/>
          <w:b/>
          <w:bCs/>
          <w:i/>
          <w:iCs/>
          <w:noProof w:val="0"/>
          <w:rtl/>
        </w:rPr>
        <w:t>...  ולפני ההתקשרות עם עו"ד".</w:t>
      </w:r>
    </w:p>
    <w:p w:rsidR="00A57DDA" w:rsidRPr="007A1B63" w:rsidRDefault="00A57DDA" w:rsidP="00A57DDA">
      <w:pPr>
        <w:spacing w:line="360" w:lineRule="auto"/>
        <w:ind w:left="1559" w:hanging="425"/>
        <w:jc w:val="both"/>
        <w:rPr>
          <w:rFonts w:ascii="Arial" w:hAnsi="Arial"/>
          <w:b/>
          <w:bCs/>
          <w:i/>
          <w:iCs/>
          <w:noProof w:val="0"/>
          <w:rtl/>
        </w:rPr>
      </w:pPr>
    </w:p>
    <w:p w:rsidR="00A57DDA" w:rsidRPr="007A1B63" w:rsidRDefault="00A57DDA" w:rsidP="00A57DDA">
      <w:pPr>
        <w:spacing w:line="360" w:lineRule="auto"/>
        <w:ind w:left="1559" w:hanging="425"/>
        <w:jc w:val="both"/>
        <w:rPr>
          <w:rFonts w:ascii="Arial" w:hAnsi="Arial"/>
          <w:b/>
          <w:bCs/>
          <w:i/>
          <w:iCs/>
          <w:noProof w:val="0"/>
          <w:rtl/>
        </w:rPr>
      </w:pPr>
      <w:r w:rsidRPr="007A1B63">
        <w:rPr>
          <w:rFonts w:ascii="Arial" w:hAnsi="Arial"/>
          <w:b/>
          <w:bCs/>
          <w:i/>
          <w:iCs/>
          <w:noProof w:val="0"/>
          <w:rtl/>
        </w:rPr>
        <w:t>9.</w:t>
      </w:r>
      <w:r w:rsidRPr="007A1B63">
        <w:rPr>
          <w:rFonts w:ascii="Arial" w:hAnsi="Arial"/>
          <w:b/>
          <w:bCs/>
          <w:i/>
          <w:iCs/>
          <w:noProof w:val="0"/>
          <w:rtl/>
        </w:rPr>
        <w:tab/>
        <w:t>ב</w:t>
      </w:r>
      <w:r>
        <w:rPr>
          <w:rFonts w:ascii="Arial" w:hAnsi="Arial" w:hint="cs"/>
          <w:b/>
          <w:bCs/>
          <w:i/>
          <w:iCs/>
          <w:noProof w:val="0"/>
          <w:rtl/>
        </w:rPr>
        <w:t>י</w:t>
      </w:r>
      <w:r w:rsidRPr="007A1B63">
        <w:rPr>
          <w:rFonts w:ascii="Arial" w:hAnsi="Arial"/>
          <w:b/>
          <w:bCs/>
          <w:i/>
          <w:iCs/>
          <w:noProof w:val="0"/>
          <w:rtl/>
        </w:rPr>
        <w:t>המ"ש קמא קבע בהחלטה כי:</w:t>
      </w:r>
    </w:p>
    <w:p w:rsidR="00A57DDA" w:rsidRPr="007A1B63" w:rsidRDefault="00A57DDA" w:rsidP="00A57DDA">
      <w:pPr>
        <w:spacing w:line="360" w:lineRule="auto"/>
        <w:ind w:left="1559" w:hanging="425"/>
        <w:jc w:val="both"/>
        <w:rPr>
          <w:rFonts w:ascii="Arial" w:hAnsi="Arial"/>
          <w:b/>
          <w:bCs/>
          <w:i/>
          <w:iCs/>
          <w:noProof w:val="0"/>
          <w:rtl/>
        </w:rPr>
      </w:pPr>
    </w:p>
    <w:p w:rsidR="00A57DDA" w:rsidRPr="007A1B63" w:rsidRDefault="00A57DDA" w:rsidP="00A57DDA">
      <w:pPr>
        <w:spacing w:line="360" w:lineRule="auto"/>
        <w:ind w:left="2160"/>
        <w:jc w:val="both"/>
        <w:rPr>
          <w:rFonts w:ascii="Arial" w:hAnsi="Arial"/>
          <w:b/>
          <w:bCs/>
          <w:i/>
          <w:iCs/>
          <w:noProof w:val="0"/>
          <w:rtl/>
        </w:rPr>
      </w:pPr>
      <w:r w:rsidRPr="007A1B63">
        <w:rPr>
          <w:rFonts w:ascii="Arial" w:hAnsi="Arial"/>
          <w:b/>
          <w:bCs/>
          <w:i/>
          <w:iCs/>
          <w:noProof w:val="0"/>
          <w:rtl/>
        </w:rPr>
        <w:t>"די בנטען בסעיף 21 לנייר העמדה של התובעים כדי להתיר בשלב זה הגשת התמליל, גם אם כלולות בו עובדות ואמירות הנוגעות לגישור. החיסיון החל על הגישור אינו חל על שיחות בין הצדדים, בעקבות או בצד הגישור ושאינן חלק ממנו... על מנת לקבוע ביתר שאת את טיב פעולות עורך הדין, אין מנוס אפוא מחקירתו ולשם כך תקבע המזכירות מועד לדיון. לאור תוצאות החלטתי זו, יתקנו נא התובעים תצהיריהם בתוך 30 ימים".</w:t>
      </w:r>
    </w:p>
    <w:p w:rsidR="00A57DDA" w:rsidRPr="007A1B63" w:rsidRDefault="00A57DDA" w:rsidP="00A57DDA">
      <w:pPr>
        <w:ind w:left="1559" w:hanging="425"/>
        <w:jc w:val="center"/>
        <w:rPr>
          <w:rFonts w:ascii="Arial" w:hAnsi="Arial"/>
          <w:b/>
          <w:bCs/>
          <w:i/>
          <w:iCs/>
          <w:noProof w:val="0"/>
          <w:rtl/>
        </w:rPr>
      </w:pPr>
      <w:r w:rsidRPr="007A1B63">
        <w:rPr>
          <w:rFonts w:ascii="Arial" w:hAnsi="Arial" w:hint="cs"/>
          <w:b/>
          <w:bCs/>
          <w:i/>
          <w:iCs/>
          <w:noProof w:val="0"/>
          <w:rtl/>
        </w:rPr>
        <w:t>...</w:t>
      </w:r>
    </w:p>
    <w:p w:rsidR="00A57DDA" w:rsidRPr="007A1B63" w:rsidRDefault="00A57DDA" w:rsidP="00A57DDA">
      <w:pPr>
        <w:ind w:left="1559" w:hanging="425"/>
        <w:rPr>
          <w:rFonts w:ascii="Arial" w:hAnsi="Arial"/>
          <w:b/>
          <w:bCs/>
          <w:i/>
          <w:iCs/>
          <w:noProof w:val="0"/>
          <w:rtl/>
        </w:rPr>
      </w:pPr>
    </w:p>
    <w:p w:rsidR="00A57DDA" w:rsidRPr="007A1B63" w:rsidRDefault="00A57DDA" w:rsidP="00A57DDA">
      <w:pPr>
        <w:spacing w:line="360" w:lineRule="auto"/>
        <w:ind w:left="1559" w:hanging="425"/>
        <w:jc w:val="both"/>
        <w:rPr>
          <w:rFonts w:ascii="Arial" w:hAnsi="Arial"/>
          <w:b/>
          <w:bCs/>
          <w:i/>
          <w:iCs/>
          <w:noProof w:val="0"/>
        </w:rPr>
      </w:pPr>
      <w:r w:rsidRPr="007A1B63">
        <w:rPr>
          <w:rFonts w:ascii="Arial" w:hAnsi="Arial"/>
          <w:b/>
          <w:bCs/>
          <w:i/>
          <w:iCs/>
          <w:noProof w:val="0"/>
          <w:rtl/>
        </w:rPr>
        <w:lastRenderedPageBreak/>
        <w:t>ד.</w:t>
      </w:r>
      <w:r w:rsidRPr="007A1B63">
        <w:rPr>
          <w:rFonts w:ascii="Arial" w:hAnsi="Arial"/>
          <w:b/>
          <w:bCs/>
          <w:i/>
          <w:iCs/>
          <w:noProof w:val="0"/>
          <w:rtl/>
        </w:rPr>
        <w:tab/>
        <w:t>דיון והכרעה</w:t>
      </w:r>
    </w:p>
    <w:p w:rsidR="00A57DDA" w:rsidRPr="007A1B63" w:rsidRDefault="00A57DDA" w:rsidP="00A57DDA">
      <w:pPr>
        <w:spacing w:line="360" w:lineRule="auto"/>
        <w:ind w:left="1559" w:hanging="425"/>
        <w:jc w:val="both"/>
        <w:rPr>
          <w:rFonts w:ascii="Arial" w:hAnsi="Arial"/>
          <w:b/>
          <w:bCs/>
          <w:i/>
          <w:iCs/>
          <w:noProof w:val="0"/>
          <w:rtl/>
        </w:rPr>
      </w:pPr>
    </w:p>
    <w:p w:rsidR="00A57DDA" w:rsidRPr="007A1B63" w:rsidRDefault="00A57DDA" w:rsidP="00A57DDA">
      <w:pPr>
        <w:spacing w:line="360" w:lineRule="auto"/>
        <w:ind w:left="1559" w:hanging="425"/>
        <w:jc w:val="both"/>
        <w:rPr>
          <w:rFonts w:ascii="Arial" w:hAnsi="Arial"/>
          <w:b/>
          <w:bCs/>
          <w:i/>
          <w:iCs/>
          <w:noProof w:val="0"/>
          <w:rtl/>
        </w:rPr>
      </w:pPr>
      <w:r w:rsidRPr="007A1B63">
        <w:rPr>
          <w:rFonts w:ascii="Arial" w:hAnsi="Arial"/>
          <w:b/>
          <w:bCs/>
          <w:i/>
          <w:iCs/>
          <w:noProof w:val="0"/>
          <w:rtl/>
        </w:rPr>
        <w:t>1.</w:t>
      </w:r>
      <w:r w:rsidRPr="007A1B63">
        <w:rPr>
          <w:rFonts w:ascii="Arial" w:hAnsi="Arial"/>
          <w:b/>
          <w:bCs/>
          <w:i/>
          <w:iCs/>
          <w:noProof w:val="0"/>
          <w:rtl/>
        </w:rPr>
        <w:tab/>
        <w:t>ככלל, ערכאת הערעור תתערב בהחלטת ביניים, רק כאשר להחלטה נשוא הערעור השפעה רבה על זכויות הצדדים ואם יהיה קשה להביא לתיקון הפגם או שהוא בעל השפעה מכרעת על הדיון.</w:t>
      </w:r>
    </w:p>
    <w:p w:rsidR="00A57DDA" w:rsidRPr="007A1B63" w:rsidRDefault="00A57DDA" w:rsidP="00A57DDA">
      <w:pPr>
        <w:spacing w:line="360" w:lineRule="auto"/>
        <w:ind w:left="1559" w:hanging="425"/>
        <w:jc w:val="both"/>
        <w:rPr>
          <w:rFonts w:ascii="Arial" w:hAnsi="Arial"/>
          <w:b/>
          <w:bCs/>
          <w:i/>
          <w:iCs/>
          <w:noProof w:val="0"/>
          <w:rtl/>
        </w:rPr>
      </w:pPr>
    </w:p>
    <w:p w:rsidR="00A57DDA" w:rsidRPr="007A1B63" w:rsidRDefault="00A57DDA" w:rsidP="00A57DDA">
      <w:pPr>
        <w:spacing w:line="360" w:lineRule="auto"/>
        <w:ind w:left="1559" w:hanging="425"/>
        <w:jc w:val="both"/>
        <w:rPr>
          <w:rFonts w:ascii="Arial" w:hAnsi="Arial"/>
          <w:b/>
          <w:bCs/>
          <w:i/>
          <w:iCs/>
          <w:noProof w:val="0"/>
          <w:rtl/>
        </w:rPr>
      </w:pPr>
      <w:r w:rsidRPr="007A1B63">
        <w:rPr>
          <w:rFonts w:ascii="Arial" w:hAnsi="Arial"/>
          <w:b/>
          <w:bCs/>
          <w:i/>
          <w:iCs/>
          <w:noProof w:val="0"/>
          <w:rtl/>
        </w:rPr>
        <w:t>2.</w:t>
      </w:r>
      <w:r w:rsidRPr="007A1B63">
        <w:rPr>
          <w:rFonts w:ascii="Arial" w:hAnsi="Arial"/>
          <w:b/>
          <w:bCs/>
          <w:i/>
          <w:iCs/>
          <w:noProof w:val="0"/>
          <w:rtl/>
        </w:rPr>
        <w:tab/>
      </w:r>
      <w:r w:rsidRPr="004D17E0">
        <w:rPr>
          <w:rFonts w:ascii="Arial" w:hAnsi="Arial"/>
          <w:b/>
          <w:bCs/>
          <w:i/>
          <w:iCs/>
          <w:noProof w:val="0"/>
          <w:rtl/>
        </w:rPr>
        <w:t>ב</w:t>
      </w:r>
      <w:hyperlink r:id="rId7" w:history="1">
        <w:r w:rsidRPr="004D17E0">
          <w:rPr>
            <w:rStyle w:val="Hyperlink"/>
            <w:rFonts w:ascii="Arial" w:hAnsi="Arial"/>
            <w:b/>
            <w:bCs/>
            <w:i/>
            <w:iCs/>
            <w:noProof w:val="0"/>
            <w:color w:val="auto"/>
            <w:u w:val="none"/>
            <w:rtl/>
          </w:rPr>
          <w:t>רע"א 7682/06</w:t>
        </w:r>
      </w:hyperlink>
      <w:r w:rsidRPr="004D17E0">
        <w:rPr>
          <w:rFonts w:ascii="Arial" w:hAnsi="Arial"/>
          <w:b/>
          <w:bCs/>
          <w:i/>
          <w:iCs/>
          <w:noProof w:val="0"/>
          <w:rtl/>
        </w:rPr>
        <w:t xml:space="preserve"> </w:t>
      </w:r>
      <w:r w:rsidRPr="007A1B63">
        <w:rPr>
          <w:rFonts w:ascii="Arial" w:hAnsi="Arial" w:hint="cs"/>
          <w:b/>
          <w:bCs/>
          <w:i/>
          <w:iCs/>
          <w:noProof w:val="0"/>
          <w:rtl/>
        </w:rPr>
        <w:t>אליהו חברה לביטוח נ' חיים אלוש (25.6.07) נקבע כי:</w:t>
      </w:r>
    </w:p>
    <w:p w:rsidR="00A57DDA" w:rsidRPr="007A1B63" w:rsidRDefault="00A57DDA" w:rsidP="00A57DDA">
      <w:pPr>
        <w:spacing w:line="360" w:lineRule="auto"/>
        <w:ind w:left="1559" w:hanging="425"/>
        <w:jc w:val="both"/>
        <w:rPr>
          <w:rFonts w:ascii="Arial" w:hAnsi="Arial"/>
          <w:b/>
          <w:bCs/>
          <w:i/>
          <w:iCs/>
          <w:noProof w:val="0"/>
          <w:rtl/>
        </w:rPr>
      </w:pPr>
    </w:p>
    <w:p w:rsidR="00A57DDA" w:rsidRPr="007A1B63" w:rsidRDefault="00A57DDA" w:rsidP="00A57DDA">
      <w:pPr>
        <w:spacing w:line="360" w:lineRule="auto"/>
        <w:ind w:left="2154"/>
        <w:jc w:val="both"/>
        <w:rPr>
          <w:rFonts w:ascii="Arial" w:hAnsi="Arial"/>
          <w:b/>
          <w:bCs/>
          <w:i/>
          <w:iCs/>
          <w:noProof w:val="0"/>
          <w:rtl/>
        </w:rPr>
      </w:pPr>
      <w:r w:rsidRPr="007A1B63">
        <w:rPr>
          <w:rFonts w:ascii="Arial" w:hAnsi="Arial"/>
          <w:b/>
          <w:bCs/>
          <w:i/>
          <w:iCs/>
          <w:noProof w:val="0"/>
          <w:rtl/>
        </w:rPr>
        <w:t>"...ככל שהחלטת הביניים היא בעלת השפעה מכריעה יותר על זכויות הצדדים או על אופן ניהול הדיון בערכאה הדיונית, כך שיהיה קשה יותר להשיב את המצב לקדמותו אם יתברר  בשלב מאוחר יותר שההחלטה היתה שגוייה, ייטה בית המשפט שלא לדחות את הבירור לשלב הערעור על פסק הדין... הנטייה להתיר את הערעור המידי תתגבר ככל שהחלטת הביניים היא בעלת אופי בלתי הדיר...".</w:t>
      </w:r>
    </w:p>
    <w:p w:rsidR="00A57DDA" w:rsidRPr="007A1B63" w:rsidRDefault="00A57DDA" w:rsidP="00A57DDA">
      <w:pPr>
        <w:spacing w:line="360" w:lineRule="auto"/>
        <w:ind w:left="1559" w:hanging="425"/>
        <w:jc w:val="both"/>
        <w:rPr>
          <w:rFonts w:ascii="Arial" w:hAnsi="Arial"/>
          <w:b/>
          <w:bCs/>
          <w:i/>
          <w:iCs/>
          <w:noProof w:val="0"/>
          <w:rtl/>
        </w:rPr>
      </w:pPr>
    </w:p>
    <w:p w:rsidR="00A57DDA" w:rsidRPr="007A1B63" w:rsidRDefault="00A57DDA" w:rsidP="00A57DDA">
      <w:pPr>
        <w:spacing w:line="360" w:lineRule="auto"/>
        <w:ind w:left="1559" w:hanging="425"/>
        <w:jc w:val="both"/>
        <w:rPr>
          <w:rFonts w:ascii="Arial" w:hAnsi="Arial"/>
          <w:b/>
          <w:bCs/>
          <w:i/>
          <w:iCs/>
          <w:noProof w:val="0"/>
          <w:rtl/>
        </w:rPr>
      </w:pPr>
      <w:r w:rsidRPr="007A1B63">
        <w:rPr>
          <w:rFonts w:ascii="Arial" w:hAnsi="Arial"/>
          <w:b/>
          <w:bCs/>
          <w:i/>
          <w:iCs/>
          <w:noProof w:val="0"/>
          <w:rtl/>
        </w:rPr>
        <w:t>3.</w:t>
      </w:r>
      <w:r w:rsidRPr="007A1B63">
        <w:rPr>
          <w:rFonts w:ascii="Arial" w:hAnsi="Arial"/>
          <w:b/>
          <w:bCs/>
          <w:i/>
          <w:iCs/>
          <w:noProof w:val="0"/>
          <w:rtl/>
        </w:rPr>
        <w:tab/>
        <w:t>במקרה דנן, הצדדים חלוקים האם שיחה שתומללה והסכם חלוקת עיזבון שלא נחתם ע"י המבקש ואשר המשיבים מבקשים להגישו בהליך, מהווים מסמכים שחסיון גישור או מו"מ לפשרה חל עליהם. בעוד שהמבקש טוען בלהט כי מדובר בראיות שנוצרו בעקבות משא ומתן והליך גישור ופשרה, טוענים המשיבים, כי כלל לא היה גישור וכי בידם אף ייפוי כוח לטובת עו"ד שנחתם אף  ע"י המבקש והמסמיך את עורך הדין לפעול לחלוקת העיזבון.</w:t>
      </w:r>
    </w:p>
    <w:p w:rsidR="00A57DDA" w:rsidRPr="007A1B63" w:rsidRDefault="00A57DDA" w:rsidP="00A57DDA">
      <w:pPr>
        <w:spacing w:line="360" w:lineRule="auto"/>
        <w:ind w:left="1559" w:hanging="425"/>
        <w:jc w:val="both"/>
        <w:rPr>
          <w:rFonts w:ascii="Arial" w:hAnsi="Arial"/>
          <w:b/>
          <w:bCs/>
          <w:i/>
          <w:iCs/>
          <w:noProof w:val="0"/>
          <w:rtl/>
        </w:rPr>
      </w:pPr>
    </w:p>
    <w:p w:rsidR="00A57DDA" w:rsidRPr="007A1B63" w:rsidRDefault="00A57DDA" w:rsidP="00A57DDA">
      <w:pPr>
        <w:spacing w:line="360" w:lineRule="auto"/>
        <w:ind w:left="1559" w:hanging="425"/>
        <w:jc w:val="both"/>
        <w:rPr>
          <w:rFonts w:ascii="Arial" w:hAnsi="Arial"/>
          <w:b/>
          <w:bCs/>
          <w:i/>
          <w:iCs/>
          <w:noProof w:val="0"/>
          <w:rtl/>
        </w:rPr>
      </w:pPr>
      <w:r w:rsidRPr="007A1B63">
        <w:rPr>
          <w:rFonts w:ascii="Arial" w:hAnsi="Arial"/>
          <w:b/>
          <w:bCs/>
          <w:i/>
          <w:iCs/>
          <w:noProof w:val="0"/>
          <w:rtl/>
        </w:rPr>
        <w:t>4.</w:t>
      </w:r>
      <w:r w:rsidRPr="007A1B63">
        <w:rPr>
          <w:rFonts w:ascii="Arial" w:hAnsi="Arial"/>
          <w:b/>
          <w:bCs/>
          <w:i/>
          <w:iCs/>
          <w:noProof w:val="0"/>
          <w:rtl/>
        </w:rPr>
        <w:tab/>
        <w:t xml:space="preserve">השאלה האם מסמכים וראיות מסוימות היו חלק ממו"מ לפשרה או שנערכו לצורכי גישור, היא שאלה עובדתית. </w:t>
      </w:r>
    </w:p>
    <w:p w:rsidR="00A57DDA" w:rsidRPr="007A1B63" w:rsidRDefault="00A57DDA" w:rsidP="00A57DDA">
      <w:pPr>
        <w:spacing w:line="360" w:lineRule="auto"/>
        <w:ind w:left="1559" w:hanging="425"/>
        <w:jc w:val="both"/>
        <w:rPr>
          <w:rFonts w:ascii="Arial" w:hAnsi="Arial"/>
          <w:b/>
          <w:bCs/>
          <w:i/>
          <w:iCs/>
          <w:noProof w:val="0"/>
          <w:rtl/>
        </w:rPr>
      </w:pPr>
    </w:p>
    <w:p w:rsidR="00A57DDA" w:rsidRPr="007A1B63" w:rsidRDefault="00A57DDA" w:rsidP="00A57DDA">
      <w:pPr>
        <w:spacing w:line="360" w:lineRule="auto"/>
        <w:ind w:left="1559" w:hanging="425"/>
        <w:jc w:val="both"/>
        <w:rPr>
          <w:rFonts w:ascii="Arial" w:hAnsi="Arial"/>
          <w:b/>
          <w:bCs/>
          <w:i/>
          <w:iCs/>
          <w:noProof w:val="0"/>
          <w:rtl/>
        </w:rPr>
      </w:pPr>
      <w:r w:rsidRPr="007A1B63">
        <w:rPr>
          <w:rFonts w:ascii="Arial" w:hAnsi="Arial"/>
          <w:b/>
          <w:bCs/>
          <w:i/>
          <w:iCs/>
          <w:noProof w:val="0"/>
          <w:rtl/>
        </w:rPr>
        <w:t>5.</w:t>
      </w:r>
      <w:r w:rsidRPr="007A1B63">
        <w:rPr>
          <w:rFonts w:ascii="Arial" w:hAnsi="Arial"/>
          <w:b/>
          <w:bCs/>
          <w:i/>
          <w:iCs/>
          <w:noProof w:val="0"/>
          <w:rtl/>
        </w:rPr>
        <w:tab/>
        <w:t>כאשר צדדים חלוקים עובדתית בשאלה מהותית מסוג זה  וצד מסוים מבקש לחקור את הצד שכנגד בנושא על מנת ללבן את העניין, מן הראוי לאפשר לו לקיים את החקירה. ככלל, אין הדבר מחייב כי הדבר ייעשה במסגרת דיון מקדמי, "מעין משפט זוטא" וניתן לקיים את החקירה במסגרת חקירתם של העדים על תצהיריהם בהליך ההוכחות. ברם, על פי פסק הדין, הדיון הושב לבהמ"ש קמא על מנת שייתן החלטתו בשאלה נקודתית זו, לאחר שיתקיים דיון.</w:t>
      </w:r>
    </w:p>
    <w:p w:rsidR="00A57DDA" w:rsidRPr="007A1B63" w:rsidRDefault="00A57DDA" w:rsidP="00A57DDA">
      <w:pPr>
        <w:spacing w:line="360" w:lineRule="auto"/>
        <w:ind w:left="1559" w:hanging="425"/>
        <w:jc w:val="both"/>
        <w:rPr>
          <w:rFonts w:ascii="Arial" w:hAnsi="Arial"/>
          <w:b/>
          <w:bCs/>
          <w:i/>
          <w:iCs/>
          <w:noProof w:val="0"/>
          <w:rtl/>
        </w:rPr>
      </w:pPr>
    </w:p>
    <w:p w:rsidR="00A57DDA" w:rsidRPr="007A1B63" w:rsidRDefault="00A57DDA" w:rsidP="00A57DDA">
      <w:pPr>
        <w:spacing w:line="360" w:lineRule="auto"/>
        <w:ind w:left="1559" w:hanging="425"/>
        <w:jc w:val="both"/>
        <w:rPr>
          <w:rFonts w:ascii="Arial" w:hAnsi="Arial"/>
          <w:b/>
          <w:bCs/>
          <w:i/>
          <w:iCs/>
          <w:noProof w:val="0"/>
          <w:rtl/>
        </w:rPr>
      </w:pPr>
      <w:r w:rsidRPr="007A1B63">
        <w:rPr>
          <w:rFonts w:ascii="Arial" w:hAnsi="Arial"/>
          <w:b/>
          <w:bCs/>
          <w:i/>
          <w:iCs/>
          <w:noProof w:val="0"/>
          <w:rtl/>
        </w:rPr>
        <w:t>6.</w:t>
      </w:r>
      <w:r w:rsidRPr="007A1B63">
        <w:rPr>
          <w:rFonts w:ascii="Arial" w:hAnsi="Arial"/>
          <w:b/>
          <w:bCs/>
          <w:i/>
          <w:iCs/>
          <w:noProof w:val="0"/>
          <w:rtl/>
        </w:rPr>
        <w:tab/>
        <w:t xml:space="preserve">לא נראה שעולה מהחלטת בהמ"ש קמא, כי הוא התיר את הגשת התמליל "ללא ההקלטה גופא". אכן, בהמ"ש קמא לא התייחס לשאלת אופן הגשת התמליל. </w:t>
      </w:r>
      <w:r w:rsidRPr="007A1B63">
        <w:rPr>
          <w:rFonts w:ascii="Arial" w:hAnsi="Arial"/>
          <w:b/>
          <w:bCs/>
          <w:i/>
          <w:iCs/>
          <w:noProof w:val="0"/>
          <w:rtl/>
        </w:rPr>
        <w:lastRenderedPageBreak/>
        <w:t xml:space="preserve">ברם, נראה כי אין בהחלטת בהמ"ש קמא בכדי לגרוע מהוראות הדין והפסיקה ביחס לאופן הגשת תמליל שיחה. המשיבים בתגובתם לבקשה דנן, הודיעו כי הם יצרפו את ההקלטה כנדרש (סעיף 14 לתשובה). ככל שהמשיבים לא יעמוד בתנאים שנקבעו בדין והפסיקה ביחס להגשת הקלטות שיחה, ייטענו הצדדים בנושא ובהמ"ש קמא יכריע בנושא. </w:t>
      </w:r>
    </w:p>
    <w:p w:rsidR="00A57DDA" w:rsidRPr="007A1B63" w:rsidRDefault="00A57DDA" w:rsidP="00A57DDA">
      <w:pPr>
        <w:spacing w:line="360" w:lineRule="auto"/>
        <w:ind w:left="1559" w:hanging="425"/>
        <w:jc w:val="both"/>
        <w:rPr>
          <w:rFonts w:ascii="Arial" w:hAnsi="Arial"/>
          <w:b/>
          <w:bCs/>
          <w:i/>
          <w:iCs/>
          <w:noProof w:val="0"/>
          <w:rtl/>
        </w:rPr>
      </w:pPr>
    </w:p>
    <w:p w:rsidR="00A57DDA" w:rsidRPr="007A1B63" w:rsidRDefault="00A57DDA" w:rsidP="00A57DDA">
      <w:pPr>
        <w:spacing w:line="360" w:lineRule="auto"/>
        <w:ind w:left="1559" w:hanging="425"/>
        <w:jc w:val="both"/>
        <w:rPr>
          <w:rFonts w:ascii="Arial" w:hAnsi="Arial"/>
          <w:b/>
          <w:bCs/>
          <w:i/>
          <w:iCs/>
          <w:noProof w:val="0"/>
          <w:rtl/>
        </w:rPr>
      </w:pPr>
      <w:r w:rsidRPr="007A1B63">
        <w:rPr>
          <w:rFonts w:ascii="Arial" w:hAnsi="Arial"/>
          <w:b/>
          <w:bCs/>
          <w:i/>
          <w:iCs/>
          <w:noProof w:val="0"/>
          <w:rtl/>
        </w:rPr>
        <w:t>7.</w:t>
      </w:r>
      <w:r w:rsidRPr="007A1B63">
        <w:rPr>
          <w:rFonts w:ascii="Arial" w:hAnsi="Arial"/>
          <w:b/>
          <w:bCs/>
          <w:i/>
          <w:iCs/>
          <w:noProof w:val="0"/>
          <w:rtl/>
        </w:rPr>
        <w:tab/>
        <w:t>ברם, בנושא היקף החיסיון, יש להסתייג מדברי בהמ"ש קמא. בהמ"ש קמא התיר את הגשת התמליל "גם אם כלולות בו עובדות ואמירות הנוגעות לגישור". ככל שיוכח לאחר חקירות התובעים כמפורט להלן, כי אכן נאמרו באותה שיחה אמירות הנוגעות לתכני הגישור, לא ניתן יהיה לעשות בהם שימוש והם לא יוכלו לשמש כראייה.</w:t>
      </w:r>
    </w:p>
    <w:p w:rsidR="00A57DDA" w:rsidRPr="007A1B63" w:rsidRDefault="00A57DDA" w:rsidP="00A57DDA">
      <w:pPr>
        <w:spacing w:line="360" w:lineRule="auto"/>
        <w:ind w:left="1559" w:hanging="425"/>
        <w:jc w:val="both"/>
        <w:rPr>
          <w:rFonts w:ascii="Arial" w:hAnsi="Arial"/>
          <w:b/>
          <w:bCs/>
          <w:i/>
          <w:iCs/>
          <w:noProof w:val="0"/>
          <w:rtl/>
        </w:rPr>
      </w:pPr>
    </w:p>
    <w:p w:rsidR="00A57DDA" w:rsidRPr="007A1B63" w:rsidRDefault="00A57DDA" w:rsidP="00A57DDA">
      <w:pPr>
        <w:spacing w:line="360" w:lineRule="auto"/>
        <w:ind w:left="1559" w:hanging="425"/>
        <w:jc w:val="both"/>
        <w:rPr>
          <w:rFonts w:ascii="Arial" w:hAnsi="Arial"/>
          <w:b/>
          <w:bCs/>
          <w:i/>
          <w:iCs/>
          <w:noProof w:val="0"/>
          <w:rtl/>
        </w:rPr>
      </w:pPr>
      <w:r w:rsidRPr="007A1B63">
        <w:rPr>
          <w:rFonts w:ascii="Arial" w:hAnsi="Arial"/>
          <w:b/>
          <w:bCs/>
          <w:i/>
          <w:iCs/>
          <w:noProof w:val="0"/>
          <w:rtl/>
        </w:rPr>
        <w:t>8.</w:t>
      </w:r>
      <w:r w:rsidRPr="007A1B63">
        <w:rPr>
          <w:rFonts w:ascii="Arial" w:hAnsi="Arial"/>
          <w:b/>
          <w:bCs/>
          <w:i/>
          <w:iCs/>
          <w:noProof w:val="0"/>
          <w:rtl/>
        </w:rPr>
        <w:tab/>
        <w:t>כפי שציין כב' השופט שוחט ברמ"ש 34741-09-16 א.ש. נ' ט.פ. (2.1.17):</w:t>
      </w:r>
    </w:p>
    <w:p w:rsidR="00A57DDA" w:rsidRPr="007A1B63" w:rsidRDefault="00A57DDA" w:rsidP="00A57DDA">
      <w:pPr>
        <w:spacing w:line="360" w:lineRule="auto"/>
        <w:ind w:left="1559" w:hanging="425"/>
        <w:jc w:val="both"/>
        <w:rPr>
          <w:rFonts w:ascii="Arial" w:hAnsi="Arial"/>
          <w:b/>
          <w:bCs/>
          <w:i/>
          <w:iCs/>
          <w:noProof w:val="0"/>
          <w:rtl/>
        </w:rPr>
      </w:pPr>
    </w:p>
    <w:p w:rsidR="00A57DDA" w:rsidRPr="007A1B63" w:rsidRDefault="00A57DDA" w:rsidP="00A57DDA">
      <w:pPr>
        <w:spacing w:line="360" w:lineRule="auto"/>
        <w:ind w:left="2160"/>
        <w:jc w:val="both"/>
        <w:rPr>
          <w:rFonts w:ascii="Arial" w:hAnsi="Arial"/>
          <w:b/>
          <w:bCs/>
          <w:i/>
          <w:iCs/>
          <w:noProof w:val="0"/>
          <w:rtl/>
        </w:rPr>
      </w:pPr>
      <w:r w:rsidRPr="007A1B63">
        <w:rPr>
          <w:rFonts w:ascii="Arial" w:hAnsi="Arial"/>
          <w:b/>
          <w:bCs/>
          <w:i/>
          <w:iCs/>
          <w:noProof w:val="0"/>
          <w:rtl/>
        </w:rPr>
        <w:t>"מטרת החיסיון של ההליך הגישורי היא לא רק בשל סודיות הדברים המתגלים בו כלפי כולי עלמא, אלא גם, ואולי אף בעיקר, כלפי בהמ"ש אשר ידון בסכסוך בין הצדדים אם הליך הגישור לא יצלח. כל יעילותו של הליך הגישור, אשר מהווה כלי בעל חשיבות רבה לפתרון סכסוכים בדרכי שלום, נסמכת על החיסיון המובטח בו דווקא כלפי בהמ"ש, שכן המטרה של ההליך היא כי הצדדים יחתרו לפשרות ולוויתורים כואבים ולהסכמה והסדרה בדרכי שלום. לצורך השגת מטרה זו, חיוני ומתבקש כי צד לא יחשוש שמא הסכמות לצורכי משא ומתן יחשבו כהודאות או כנקודת פתיחה להליך בבהמ"ש אם הגישור לא צלח ובכך יגיע בנקודת פתיחה חלשה יותר לבהמ"ש, דבר שימנע לתת מראש להליך הגישור הזדמנות להצליח..".</w:t>
      </w:r>
    </w:p>
    <w:p w:rsidR="00A57DDA" w:rsidRPr="007A1B63" w:rsidRDefault="00A57DDA" w:rsidP="00A57DDA">
      <w:pPr>
        <w:spacing w:line="360" w:lineRule="auto"/>
        <w:ind w:left="1559" w:hanging="425"/>
        <w:jc w:val="both"/>
        <w:rPr>
          <w:rFonts w:ascii="Arial" w:hAnsi="Arial"/>
          <w:b/>
          <w:bCs/>
          <w:i/>
          <w:iCs/>
          <w:noProof w:val="0"/>
          <w:rtl/>
        </w:rPr>
      </w:pPr>
    </w:p>
    <w:p w:rsidR="00A57DDA" w:rsidRPr="007A1B63" w:rsidRDefault="00A57DDA" w:rsidP="00A57DDA">
      <w:pPr>
        <w:spacing w:line="360" w:lineRule="auto"/>
        <w:ind w:left="1559" w:hanging="425"/>
        <w:jc w:val="both"/>
        <w:rPr>
          <w:rFonts w:ascii="Arial" w:hAnsi="Arial"/>
          <w:b/>
          <w:bCs/>
          <w:i/>
          <w:iCs/>
          <w:noProof w:val="0"/>
          <w:rtl/>
        </w:rPr>
      </w:pPr>
      <w:r w:rsidRPr="007A1B63">
        <w:rPr>
          <w:rFonts w:ascii="Arial" w:hAnsi="Arial"/>
          <w:b/>
          <w:bCs/>
          <w:i/>
          <w:iCs/>
          <w:noProof w:val="0"/>
          <w:rtl/>
        </w:rPr>
        <w:t>9.</w:t>
      </w:r>
      <w:r w:rsidRPr="007A1B63">
        <w:rPr>
          <w:rFonts w:ascii="Arial" w:hAnsi="Arial"/>
          <w:b/>
          <w:bCs/>
          <w:i/>
          <w:iCs/>
          <w:noProof w:val="0"/>
          <w:rtl/>
        </w:rPr>
        <w:tab/>
        <w:t>בבע"מ 8769/08 פלוני נ' פלונית (31.12.08) קבע כב' השופט רובינשטיין כי:</w:t>
      </w:r>
    </w:p>
    <w:p w:rsidR="00A57DDA" w:rsidRPr="007A1B63" w:rsidRDefault="00A57DDA" w:rsidP="00A57DDA">
      <w:pPr>
        <w:spacing w:line="360" w:lineRule="auto"/>
        <w:ind w:left="1559" w:hanging="425"/>
        <w:jc w:val="both"/>
        <w:rPr>
          <w:rFonts w:ascii="Arial" w:hAnsi="Arial"/>
          <w:b/>
          <w:bCs/>
          <w:i/>
          <w:iCs/>
          <w:noProof w:val="0"/>
          <w:rtl/>
        </w:rPr>
      </w:pPr>
    </w:p>
    <w:p w:rsidR="00A57DDA" w:rsidRPr="007A1B63" w:rsidRDefault="00A57DDA" w:rsidP="00A57DDA">
      <w:pPr>
        <w:spacing w:line="360" w:lineRule="auto"/>
        <w:ind w:left="2160"/>
        <w:jc w:val="both"/>
        <w:rPr>
          <w:rFonts w:ascii="Arial" w:hAnsi="Arial"/>
          <w:b/>
          <w:bCs/>
          <w:i/>
          <w:iCs/>
          <w:noProof w:val="0"/>
          <w:rtl/>
        </w:rPr>
      </w:pPr>
      <w:r w:rsidRPr="007A1B63">
        <w:rPr>
          <w:rFonts w:ascii="Arial" w:hAnsi="Arial"/>
          <w:b/>
          <w:bCs/>
          <w:i/>
          <w:iCs/>
          <w:noProof w:val="0"/>
          <w:rtl/>
        </w:rPr>
        <w:t>"... רק התוצר הסופי של הליך הגישור... יכול להיות מועבר מחדר הגישור לאולם המשפט, זכותו של צד להניח, כי בהעדר הסכמה אחרת, כל מסמך אחר לא יוצג בפני בית המשפט".</w:t>
      </w:r>
    </w:p>
    <w:p w:rsidR="00A57DDA" w:rsidRPr="007A1B63" w:rsidRDefault="00A57DDA" w:rsidP="00A57DDA">
      <w:pPr>
        <w:spacing w:line="360" w:lineRule="auto"/>
        <w:ind w:left="1559" w:hanging="425"/>
        <w:jc w:val="both"/>
        <w:rPr>
          <w:rFonts w:ascii="Arial" w:hAnsi="Arial"/>
          <w:b/>
          <w:bCs/>
          <w:i/>
          <w:iCs/>
          <w:noProof w:val="0"/>
          <w:rtl/>
        </w:rPr>
      </w:pPr>
    </w:p>
    <w:p w:rsidR="00A57DDA" w:rsidRPr="007A1B63" w:rsidRDefault="00A57DDA" w:rsidP="00A57DDA">
      <w:pPr>
        <w:spacing w:line="360" w:lineRule="auto"/>
        <w:ind w:left="2160"/>
        <w:jc w:val="both"/>
        <w:rPr>
          <w:rFonts w:ascii="Arial" w:hAnsi="Arial"/>
          <w:b/>
          <w:bCs/>
          <w:i/>
          <w:iCs/>
          <w:noProof w:val="0"/>
          <w:rtl/>
        </w:rPr>
      </w:pPr>
      <w:r w:rsidRPr="007A1B63">
        <w:rPr>
          <w:rFonts w:ascii="Arial" w:hAnsi="Arial"/>
          <w:b/>
          <w:bCs/>
          <w:i/>
          <w:iCs/>
          <w:noProof w:val="0"/>
          <w:rtl/>
        </w:rPr>
        <w:t xml:space="preserve">לפיכך, ככל שיתברר כי בתמליל יש אינפורמציה שנאמרה במסגרת גישור או מו"מ לפשרה, יהיה על בית המשפט להתעלם ממנה לאור היותה </w:t>
      </w:r>
      <w:r w:rsidRPr="007A1B63">
        <w:rPr>
          <w:rFonts w:ascii="Arial" w:hAnsi="Arial"/>
          <w:b/>
          <w:bCs/>
          <w:i/>
          <w:iCs/>
          <w:noProof w:val="0"/>
          <w:rtl/>
        </w:rPr>
        <w:lastRenderedPageBreak/>
        <w:t xml:space="preserve">חסויה. הוא הדין אף ביחס למסמכים וראיות נוספות שיבקשו המשיבים להגיש ושיתברר כי הם היו חלק מהליכי מו"מ לפשרה או גישור. </w:t>
      </w:r>
    </w:p>
    <w:p w:rsidR="00A57DDA" w:rsidRPr="007A1B63" w:rsidRDefault="00A57DDA" w:rsidP="00A57DDA">
      <w:pPr>
        <w:spacing w:line="360" w:lineRule="auto"/>
        <w:ind w:left="1559" w:hanging="425"/>
        <w:jc w:val="both"/>
        <w:rPr>
          <w:rFonts w:ascii="Arial" w:hAnsi="Arial"/>
          <w:b/>
          <w:bCs/>
          <w:i/>
          <w:iCs/>
          <w:noProof w:val="0"/>
          <w:rtl/>
        </w:rPr>
      </w:pPr>
    </w:p>
    <w:p w:rsidR="00A57DDA" w:rsidRPr="007A1B63" w:rsidRDefault="00A57DDA" w:rsidP="00A57DDA">
      <w:pPr>
        <w:spacing w:line="360" w:lineRule="auto"/>
        <w:ind w:left="1559" w:hanging="425"/>
        <w:jc w:val="both"/>
        <w:rPr>
          <w:rFonts w:ascii="Arial" w:hAnsi="Arial"/>
          <w:b/>
          <w:bCs/>
          <w:i/>
          <w:iCs/>
          <w:noProof w:val="0"/>
          <w:rtl/>
        </w:rPr>
      </w:pPr>
      <w:r w:rsidRPr="007A1B63">
        <w:rPr>
          <w:rFonts w:ascii="Arial" w:hAnsi="Arial"/>
          <w:b/>
          <w:bCs/>
          <w:i/>
          <w:iCs/>
          <w:noProof w:val="0"/>
          <w:rtl/>
        </w:rPr>
        <w:t>10.</w:t>
      </w:r>
      <w:r w:rsidRPr="007A1B63">
        <w:rPr>
          <w:rFonts w:ascii="Arial" w:hAnsi="Arial"/>
          <w:b/>
          <w:bCs/>
          <w:i/>
          <w:iCs/>
          <w:noProof w:val="0"/>
          <w:rtl/>
        </w:rPr>
        <w:tab/>
        <w:t>כאמור, בניירות העמדה שהגישו הצדדים בבהמ"ש קמא, היו עמדות הצדדים קוטביות בשאלה האם הסכם חלוקת העיזבון והתמליל מהווים חלק מהמו"מ לפשרה או הגישור. בהחלטה נקבע אמנם כי התמליל מותר בהגשה ואולם בהמ"ש קמא לא סיים את מלאכתו בבקשה וקבע כי "על מנת  לקבוע ביתר שאת את טיב פעולות עורך הדין, אין מנוס אפוא מחקירתו ולשם כך תקבע המזכירות מועד לדיון". דהיינו, בהמ"ש קמא טרם החליט האם תותר הגשת המסמך השני השנוי במחלוקת, דהיינו הסכם חלוקת העיזבון, וניתנה הכרעה רק ביחס לתמליל. כעולה מנייר העמדה שהגיש המבקש בבית המשפט קמא (סעיפים 4-5), הוא מתנגד להגשת שני מסמכים אלו בלבד וכן לכל התייחסות בתצהירים למו"מ שהתקיים בין הצדדים.</w:t>
      </w:r>
    </w:p>
    <w:p w:rsidR="00A57DDA" w:rsidRPr="007A1B63" w:rsidRDefault="00A57DDA" w:rsidP="00A57DDA">
      <w:pPr>
        <w:spacing w:line="360" w:lineRule="auto"/>
        <w:ind w:left="1559" w:hanging="425"/>
        <w:jc w:val="both"/>
        <w:rPr>
          <w:rFonts w:ascii="Arial" w:hAnsi="Arial"/>
          <w:b/>
          <w:bCs/>
          <w:i/>
          <w:iCs/>
          <w:noProof w:val="0"/>
          <w:rtl/>
        </w:rPr>
      </w:pPr>
    </w:p>
    <w:p w:rsidR="00A57DDA" w:rsidRPr="007A1B63" w:rsidRDefault="00A57DDA" w:rsidP="00A57DDA">
      <w:pPr>
        <w:spacing w:line="360" w:lineRule="auto"/>
        <w:ind w:left="1559" w:hanging="425"/>
        <w:jc w:val="both"/>
        <w:rPr>
          <w:rFonts w:ascii="Arial" w:hAnsi="Arial"/>
          <w:b/>
          <w:bCs/>
          <w:i/>
          <w:iCs/>
          <w:noProof w:val="0"/>
          <w:rtl/>
        </w:rPr>
      </w:pPr>
      <w:r w:rsidRPr="007A1B63">
        <w:rPr>
          <w:rFonts w:ascii="Arial" w:hAnsi="Arial"/>
          <w:b/>
          <w:bCs/>
          <w:i/>
          <w:iCs/>
          <w:noProof w:val="0"/>
          <w:rtl/>
        </w:rPr>
        <w:t>11.</w:t>
      </w:r>
      <w:r w:rsidRPr="007A1B63">
        <w:rPr>
          <w:rFonts w:ascii="Arial" w:hAnsi="Arial"/>
          <w:b/>
          <w:bCs/>
          <w:i/>
          <w:iCs/>
          <w:noProof w:val="0"/>
          <w:rtl/>
        </w:rPr>
        <w:tab/>
        <w:t xml:space="preserve">לפיכך, משהדיון בבקשה עליה הורה כב' השופט גייפמן בפסק הדין טרם הסתיים וטרם ניתנה הכרעה ביחס למכלול המחלוקת ביחס למסמכים שנטען כי הם חסויים, יש מקום לאפשר למבקש לחקור את המשיבים בנושא נקודתי זה. המבקש טוען כי המשיבים לא פירטו בתצהירים מי ביצע את ההקלטה, מתי בוצעה ההקלטה ובאיזה מכשיר וברצונם ללבן נושאים אלו. בתשובה לבקשת רשות הערעור, ציינו המשיבים את מועד ההקלטה ומיקומה לשיטתם.  אולם, טענות עובדתיות אלו לא עמדו בפני חקירה נגדית וזכותם של המבקשים לברר טענות אלו, שתהיה להן רלוונטיות לשאלה האם השיחה התקיימה במסגרת מו"מ לפשרה או הליך גישור, דבר המשליך על קבילתה. </w:t>
      </w:r>
    </w:p>
    <w:p w:rsidR="00A57DDA" w:rsidRPr="007A1B63" w:rsidRDefault="00A57DDA" w:rsidP="00A57DDA">
      <w:pPr>
        <w:spacing w:line="360" w:lineRule="auto"/>
        <w:ind w:left="1559" w:hanging="425"/>
        <w:jc w:val="both"/>
        <w:rPr>
          <w:rFonts w:ascii="Arial" w:hAnsi="Arial"/>
          <w:b/>
          <w:bCs/>
          <w:i/>
          <w:iCs/>
          <w:noProof w:val="0"/>
          <w:rtl/>
        </w:rPr>
      </w:pPr>
    </w:p>
    <w:p w:rsidR="00A57DDA" w:rsidRPr="007A1B63" w:rsidRDefault="00A57DDA" w:rsidP="00A57DDA">
      <w:pPr>
        <w:spacing w:line="360" w:lineRule="auto"/>
        <w:ind w:left="1559" w:hanging="425"/>
        <w:jc w:val="both"/>
        <w:rPr>
          <w:rFonts w:ascii="Arial" w:hAnsi="Arial"/>
          <w:b/>
          <w:bCs/>
          <w:i/>
          <w:iCs/>
          <w:noProof w:val="0"/>
          <w:rtl/>
        </w:rPr>
      </w:pPr>
      <w:r w:rsidRPr="007A1B63">
        <w:rPr>
          <w:rFonts w:ascii="Arial" w:hAnsi="Arial"/>
          <w:b/>
          <w:bCs/>
          <w:i/>
          <w:iCs/>
          <w:noProof w:val="0"/>
          <w:rtl/>
        </w:rPr>
        <w:t>12.</w:t>
      </w:r>
      <w:r w:rsidRPr="007A1B63">
        <w:rPr>
          <w:rFonts w:ascii="Arial" w:hAnsi="Arial"/>
          <w:b/>
          <w:bCs/>
          <w:i/>
          <w:iCs/>
          <w:noProof w:val="0"/>
          <w:rtl/>
        </w:rPr>
        <w:tab/>
        <w:t>משנקבע בפסק הדין, כי יש לקיים דיון עצמאי בשאלת קבילות המסמכים והמבקש ביקש לחקור את המשיבים בנושאים הקשורים לתמליל השיחה, יש לאפשר לו לעשות כן. ודוק: החלטתי זו ניתנת בין היתר, עקב העובדה שממילא נקבע המשך דיון בבקשה, לצורך חקירת עורך הדין ולכן חקירת המשיבים בנושא הנקודתי הקשור לשיחה ולתמליל ולהסכם חלוקת העיזבון, לא תעכב את קידום ההליך בבהמ"ש קמא. לאחר חקירות המשיבים בנושא זה וחקירת עורך הדין ולאחר שיישמעו טיעוני הצדדים, ייתן בהמ"ש קמא החלטה משלימה שתתייחס אף להגשת התמליל, לאור ממצאי החקירות. בשלב זה, התמליל לא יוגש.</w:t>
      </w:r>
    </w:p>
    <w:p w:rsidR="00A57DDA" w:rsidRPr="007A1B63" w:rsidRDefault="00A57DDA" w:rsidP="00A57DDA">
      <w:pPr>
        <w:spacing w:line="360" w:lineRule="auto"/>
        <w:ind w:left="1559" w:hanging="425"/>
        <w:jc w:val="both"/>
        <w:rPr>
          <w:rFonts w:ascii="Arial" w:hAnsi="Arial"/>
          <w:b/>
          <w:bCs/>
          <w:i/>
          <w:iCs/>
          <w:noProof w:val="0"/>
          <w:rtl/>
        </w:rPr>
      </w:pPr>
    </w:p>
    <w:p w:rsidR="00A57DDA" w:rsidRPr="007A1B63" w:rsidRDefault="00A57DDA" w:rsidP="00A57DDA">
      <w:pPr>
        <w:spacing w:line="360" w:lineRule="auto"/>
        <w:ind w:left="1559" w:hanging="425"/>
        <w:jc w:val="both"/>
        <w:rPr>
          <w:rFonts w:ascii="Arial" w:hAnsi="Arial"/>
          <w:b/>
          <w:bCs/>
          <w:i/>
          <w:iCs/>
          <w:noProof w:val="0"/>
          <w:rtl/>
        </w:rPr>
      </w:pPr>
      <w:r w:rsidRPr="007A1B63">
        <w:rPr>
          <w:rFonts w:ascii="Arial" w:hAnsi="Arial"/>
          <w:b/>
          <w:bCs/>
          <w:i/>
          <w:iCs/>
          <w:noProof w:val="0"/>
          <w:rtl/>
        </w:rPr>
        <w:lastRenderedPageBreak/>
        <w:t>13.</w:t>
      </w:r>
      <w:r w:rsidRPr="007A1B63">
        <w:rPr>
          <w:rFonts w:ascii="Arial" w:hAnsi="Arial"/>
          <w:b/>
          <w:bCs/>
          <w:i/>
          <w:iCs/>
          <w:noProof w:val="0"/>
          <w:rtl/>
        </w:rPr>
        <w:tab/>
        <w:t>להשלמת התמונה אציין, כי מאחר שאין רלוונטיות להכרעה בבקשה דנן בנוגע לטענת המבקש ביחס לדברי בהמ"ש קמא, כי מדובר במקרה של "קשיש מוחלש", אין מקום לדון בטענה זו. מדובר באמירה שאין לה השלכה אופרטיבית להליך בשלב זה.</w:t>
      </w:r>
      <w:r w:rsidRPr="007A1B63">
        <w:rPr>
          <w:rFonts w:ascii="Arial" w:hAnsi="Arial" w:hint="cs"/>
          <w:b/>
          <w:bCs/>
          <w:i/>
          <w:iCs/>
          <w:noProof w:val="0"/>
          <w:rtl/>
        </w:rPr>
        <w:t>"</w:t>
      </w:r>
    </w:p>
    <w:p w:rsidR="00A57DDA" w:rsidRDefault="00A57DDA" w:rsidP="00A57DDA">
      <w:pPr>
        <w:rPr>
          <w:rFonts w:ascii="Arial" w:hAnsi="Arial"/>
          <w:noProof w:val="0"/>
          <w:rtl/>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כעת, מן הסתם, מבינים אנו אגב הצורך בקיום "משפט זוטא" וערעורים, מה טעם נמשכו ההליכים לא מעט זמן. </w:t>
      </w:r>
    </w:p>
    <w:p w:rsidR="00A57DDA" w:rsidRPr="007A1B63" w:rsidRDefault="00A57DDA" w:rsidP="00A57DDA">
      <w:pPr>
        <w:spacing w:line="360" w:lineRule="auto"/>
        <w:jc w:val="both"/>
        <w:rPr>
          <w:rFonts w:ascii="Arial" w:hAnsi="Arial"/>
          <w:noProof w:val="0"/>
          <w:rtl/>
        </w:rPr>
      </w:pPr>
    </w:p>
    <w:p w:rsidR="00A57DDA" w:rsidRPr="00183543" w:rsidRDefault="00A57DDA" w:rsidP="00A57DDA">
      <w:pPr>
        <w:spacing w:line="360" w:lineRule="auto"/>
        <w:jc w:val="both"/>
        <w:rPr>
          <w:rFonts w:ascii="Arial" w:hAnsi="Arial"/>
          <w:b/>
          <w:bCs/>
          <w:noProof w:val="0"/>
          <w:u w:val="single"/>
        </w:rPr>
      </w:pPr>
      <w:r w:rsidRPr="00183543">
        <w:rPr>
          <w:rFonts w:ascii="Arial" w:hAnsi="Arial" w:hint="cs"/>
          <w:b/>
          <w:bCs/>
          <w:noProof w:val="0"/>
          <w:u w:val="single"/>
          <w:rtl/>
        </w:rPr>
        <w:t>טענות התובעים, בתמצית</w:t>
      </w:r>
    </w:p>
    <w:p w:rsidR="00A57DDA" w:rsidRDefault="00A57DDA" w:rsidP="004D17E0">
      <w:pPr>
        <w:pStyle w:val="af1"/>
        <w:numPr>
          <w:ilvl w:val="0"/>
          <w:numId w:val="1"/>
        </w:numPr>
        <w:spacing w:line="360" w:lineRule="auto"/>
        <w:jc w:val="both"/>
        <w:rPr>
          <w:rFonts w:ascii="Arial" w:hAnsi="Arial"/>
          <w:noProof w:val="0"/>
        </w:rPr>
      </w:pPr>
      <w:r>
        <w:rPr>
          <w:rFonts w:ascii="Arial" w:hAnsi="Arial" w:hint="cs"/>
          <w:noProof w:val="0"/>
          <w:rtl/>
        </w:rPr>
        <w:t xml:space="preserve">בכתב התביעה נטען, כי המתנה ניתנה לנתבע כפרי של השפעה בלתי הוגנת, עת המעניקה, האם המנוחה, היתה בת </w:t>
      </w:r>
      <w:r w:rsidR="004D17E0">
        <w:rPr>
          <w:rFonts w:ascii="Arial" w:hAnsi="Arial" w:hint="cs"/>
          <w:noProof w:val="0"/>
          <w:rtl/>
        </w:rPr>
        <w:t>...</w:t>
      </w:r>
      <w:r>
        <w:rPr>
          <w:rFonts w:ascii="Arial" w:hAnsi="Arial" w:hint="cs"/>
          <w:noProof w:val="0"/>
          <w:rtl/>
        </w:rPr>
        <w:t xml:space="preserve"> ומצבה הרפואי והנפשי לא תקין. </w:t>
      </w:r>
    </w:p>
    <w:p w:rsidR="00A57DDA" w:rsidRDefault="00A57DDA" w:rsidP="00A57DDA">
      <w:pPr>
        <w:pStyle w:val="af1"/>
        <w:spacing w:line="360" w:lineRule="auto"/>
        <w:ind w:left="360"/>
        <w:jc w:val="both"/>
        <w:rPr>
          <w:rFonts w:ascii="Arial" w:hAnsi="Arial"/>
          <w:noProof w:val="0"/>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הנתבע עדיין לא העביר את הנכס על שמו, אף שתצהיר המתנה נחתם עוד ביום 16.10.2011.</w:t>
      </w:r>
    </w:p>
    <w:p w:rsidR="00A57DDA" w:rsidRPr="00183543" w:rsidRDefault="00A57DDA" w:rsidP="00A57DDA">
      <w:pPr>
        <w:pStyle w:val="af1"/>
        <w:rPr>
          <w:rFonts w:ascii="Arial" w:hAnsi="Arial"/>
          <w:noProof w:val="0"/>
          <w:rtl/>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עסקת המתנה פיקטיבית היתה, על-מנת ללחוץ על התובעים. </w:t>
      </w:r>
    </w:p>
    <w:p w:rsidR="00A57DDA" w:rsidRPr="00A2618C" w:rsidRDefault="00A57DDA" w:rsidP="00A57DDA">
      <w:pPr>
        <w:pStyle w:val="af1"/>
        <w:rPr>
          <w:rFonts w:ascii="Arial" w:hAnsi="Arial"/>
          <w:noProof w:val="0"/>
          <w:rtl/>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דבר התצהיר לא נודע לתובעים אלא לאחר פטירת האם המנוחה. </w:t>
      </w:r>
    </w:p>
    <w:p w:rsidR="00A57DDA" w:rsidRPr="00A2618C" w:rsidRDefault="00A57DDA" w:rsidP="00A57DDA">
      <w:pPr>
        <w:pStyle w:val="af1"/>
        <w:rPr>
          <w:rFonts w:ascii="Arial" w:hAnsi="Arial"/>
          <w:noProof w:val="0"/>
          <w:rtl/>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המנוחה יכולה היתה לסבור כי הבניין שהוענק (חלק ארי מן העיזבון) על-פי הנוסח, לא התכוונה להעניקו, אלא להעניק דירה אחת בלבד. </w:t>
      </w:r>
    </w:p>
    <w:p w:rsidR="00A57DDA" w:rsidRPr="00A2618C" w:rsidRDefault="00A57DDA" w:rsidP="00A57DDA">
      <w:pPr>
        <w:pStyle w:val="af1"/>
        <w:rPr>
          <w:rFonts w:ascii="Arial" w:hAnsi="Arial"/>
          <w:noProof w:val="0"/>
          <w:rtl/>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ביודעו כל האמור, ניהל לכן הנתבע משא ומתן עם התובעים. </w:t>
      </w:r>
    </w:p>
    <w:p w:rsidR="00A57DDA" w:rsidRPr="00A2618C" w:rsidRDefault="00A57DDA" w:rsidP="00A57DDA">
      <w:pPr>
        <w:pStyle w:val="af1"/>
        <w:rPr>
          <w:rFonts w:ascii="Arial" w:hAnsi="Arial"/>
          <w:noProof w:val="0"/>
          <w:rtl/>
        </w:rPr>
      </w:pPr>
    </w:p>
    <w:p w:rsidR="00A57DDA" w:rsidRDefault="00A57DDA" w:rsidP="004D17E0">
      <w:pPr>
        <w:pStyle w:val="af1"/>
        <w:numPr>
          <w:ilvl w:val="0"/>
          <w:numId w:val="1"/>
        </w:numPr>
        <w:spacing w:line="360" w:lineRule="auto"/>
        <w:jc w:val="both"/>
        <w:rPr>
          <w:rFonts w:ascii="Arial" w:hAnsi="Arial"/>
          <w:noProof w:val="0"/>
        </w:rPr>
      </w:pPr>
      <w:r>
        <w:rPr>
          <w:rFonts w:ascii="Arial" w:hAnsi="Arial" w:hint="cs"/>
          <w:noProof w:val="0"/>
          <w:rtl/>
        </w:rPr>
        <w:t xml:space="preserve">צוואת המנוחה (שהוגדרה בדוח עיריית </w:t>
      </w:r>
      <w:r w:rsidR="004D17E0">
        <w:rPr>
          <w:rFonts w:ascii="Arial" w:hAnsi="Arial" w:hint="cs"/>
          <w:noProof w:val="0"/>
          <w:rtl/>
        </w:rPr>
        <w:t>....</w:t>
      </w:r>
      <w:r>
        <w:rPr>
          <w:rFonts w:ascii="Arial" w:hAnsi="Arial" w:hint="cs"/>
          <w:noProof w:val="0"/>
          <w:rtl/>
        </w:rPr>
        <w:t xml:space="preserve"> כמבולבלת עוד ביום 03.08.2011) קוימה ללא התנגדות, למרות שהיא כוללת את הנכס שהוענק כביכול כמתנה. </w:t>
      </w:r>
    </w:p>
    <w:p w:rsidR="00A57DDA" w:rsidRPr="0026774F" w:rsidRDefault="00A57DDA" w:rsidP="00A57DDA">
      <w:pPr>
        <w:pStyle w:val="af1"/>
        <w:rPr>
          <w:rFonts w:ascii="Arial" w:hAnsi="Arial"/>
          <w:noProof w:val="0"/>
          <w:rtl/>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המתנה כביכול לא נועדה אלא להגן על נכסי המשפחה, לאור סכסוך לפני שפרץ בין בנה של התובעת 2 לבין הנתבע. </w:t>
      </w:r>
    </w:p>
    <w:p w:rsidR="00A57DDA" w:rsidRPr="0026774F" w:rsidRDefault="00A57DDA" w:rsidP="00A57DDA">
      <w:pPr>
        <w:pStyle w:val="af1"/>
        <w:rPr>
          <w:rFonts w:ascii="Arial" w:hAnsi="Arial"/>
          <w:noProof w:val="0"/>
          <w:rtl/>
        </w:rPr>
      </w:pPr>
    </w:p>
    <w:p w:rsidR="00A57DDA" w:rsidRPr="0026774F" w:rsidRDefault="00A57DDA" w:rsidP="00A57DDA">
      <w:pPr>
        <w:spacing w:line="360" w:lineRule="auto"/>
        <w:jc w:val="both"/>
        <w:rPr>
          <w:rFonts w:ascii="Arial" w:hAnsi="Arial"/>
          <w:b/>
          <w:bCs/>
          <w:noProof w:val="0"/>
          <w:u w:val="single"/>
        </w:rPr>
      </w:pPr>
      <w:r w:rsidRPr="0026774F">
        <w:rPr>
          <w:rFonts w:ascii="Arial" w:hAnsi="Arial" w:hint="cs"/>
          <w:b/>
          <w:bCs/>
          <w:noProof w:val="0"/>
          <w:u w:val="single"/>
          <w:rtl/>
        </w:rPr>
        <w:t>טענות הנתבע 1, בתמצית</w:t>
      </w: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הנתבע 2 למעשה לא שיתף עצמו בהליך בבחינת מי שיקבל כל פסק דין שיינתן. </w:t>
      </w:r>
    </w:p>
    <w:p w:rsidR="00A57DDA" w:rsidRPr="00CB7F13" w:rsidRDefault="00A57DDA" w:rsidP="00A57DDA">
      <w:pPr>
        <w:pStyle w:val="af1"/>
        <w:spacing w:line="360" w:lineRule="auto"/>
        <w:ind w:left="360"/>
        <w:jc w:val="both"/>
        <w:rPr>
          <w:rFonts w:ascii="Arial" w:hAnsi="Arial"/>
          <w:noProof w:val="0"/>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על-פי הנטען על-ידי הנתבע 1, בהגנתו יש להבין ראשית כי מדובר בסכסוך משפחתי רחב היקף רב תיקים קשורים והמשליך גם על הסכסוך שבכאן, תוך שהוא כורך גם צדדי ג'. </w:t>
      </w:r>
    </w:p>
    <w:p w:rsidR="00A57DDA" w:rsidRPr="00CB7F13" w:rsidRDefault="00A57DDA" w:rsidP="00A57DDA">
      <w:pPr>
        <w:pStyle w:val="af1"/>
        <w:rPr>
          <w:rFonts w:ascii="Arial" w:hAnsi="Arial"/>
          <w:noProof w:val="0"/>
          <w:rtl/>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lastRenderedPageBreak/>
        <w:t xml:space="preserve">מה שהוענק הוא כל הנכס הישן על 4 קומותיו. תחילה הוענקו זכויות בניה בגג (ומכאן האזכור בצוואה) ואחר כך שיפץ הנתבע את הנכס בעלות מיליונים, ועל רקע סכסוכים עם צדדי ג' הועבר לבסוף הבניין כולו בתצהיר. </w:t>
      </w:r>
    </w:p>
    <w:p w:rsidR="00A57DDA" w:rsidRPr="00A2618C" w:rsidRDefault="00A57DDA" w:rsidP="00A57DDA">
      <w:pPr>
        <w:pStyle w:val="af1"/>
        <w:rPr>
          <w:rFonts w:ascii="Arial" w:hAnsi="Arial"/>
          <w:noProof w:val="0"/>
          <w:rtl/>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המנוחה ידעה היטב את שהיא עושה, ולא היתה שום השפעה לא הוגנת. </w:t>
      </w:r>
    </w:p>
    <w:p w:rsidR="00A57DDA" w:rsidRPr="00CB7F13" w:rsidRDefault="00A57DDA" w:rsidP="00A57DDA">
      <w:pPr>
        <w:pStyle w:val="af1"/>
        <w:rPr>
          <w:rFonts w:ascii="Arial" w:hAnsi="Arial"/>
          <w:noProof w:val="0"/>
          <w:rtl/>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עלות המיסים וחובות עבר של הדיירים נפרעו גם הם על-ידי הנתבע. </w:t>
      </w:r>
    </w:p>
    <w:p w:rsidR="00A57DDA" w:rsidRPr="00CB7F13" w:rsidRDefault="00A57DDA" w:rsidP="00A57DDA">
      <w:pPr>
        <w:pStyle w:val="af1"/>
        <w:rPr>
          <w:rFonts w:ascii="Arial" w:hAnsi="Arial"/>
          <w:noProof w:val="0"/>
          <w:rtl/>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על זכויות הנתבע בקומות אשר בנה ובהן הוא מתגורר אין מחלוקת. </w:t>
      </w:r>
    </w:p>
    <w:p w:rsidR="00A57DDA" w:rsidRPr="00976B6A" w:rsidRDefault="00A57DDA" w:rsidP="00A57DDA">
      <w:pPr>
        <w:pStyle w:val="af1"/>
        <w:rPr>
          <w:rFonts w:ascii="Arial" w:hAnsi="Arial"/>
          <w:noProof w:val="0"/>
          <w:rtl/>
        </w:rPr>
      </w:pPr>
    </w:p>
    <w:p w:rsidR="00A57DDA" w:rsidRDefault="00A57DDA" w:rsidP="004D17E0">
      <w:pPr>
        <w:pStyle w:val="af1"/>
        <w:numPr>
          <w:ilvl w:val="0"/>
          <w:numId w:val="1"/>
        </w:numPr>
        <w:spacing w:line="360" w:lineRule="auto"/>
        <w:jc w:val="both"/>
        <w:rPr>
          <w:rFonts w:ascii="Arial" w:hAnsi="Arial"/>
          <w:noProof w:val="0"/>
        </w:rPr>
      </w:pPr>
      <w:r>
        <w:rPr>
          <w:rFonts w:ascii="Arial" w:hAnsi="Arial" w:hint="cs"/>
          <w:noProof w:val="0"/>
          <w:rtl/>
        </w:rPr>
        <w:t xml:space="preserve">דוחות הביקור של עיריית </w:t>
      </w:r>
      <w:r w:rsidR="004D17E0">
        <w:rPr>
          <w:rFonts w:ascii="Arial" w:hAnsi="Arial" w:hint="cs"/>
          <w:noProof w:val="0"/>
          <w:rtl/>
        </w:rPr>
        <w:t>....</w:t>
      </w:r>
      <w:r>
        <w:rPr>
          <w:rFonts w:ascii="Arial" w:hAnsi="Arial" w:hint="cs"/>
          <w:noProof w:val="0"/>
          <w:rtl/>
        </w:rPr>
        <w:t xml:space="preserve"> לא נועדו אלא לסיוע בהשגת סיעוד. המנוחה הלכה לבית עולמה בשנת 2012 כשהיא צלולה, ומסמכים שונים מוכיחים זאת. </w:t>
      </w:r>
    </w:p>
    <w:p w:rsidR="00A57DDA" w:rsidRPr="00976B6A" w:rsidRDefault="00A57DDA" w:rsidP="00A57DDA">
      <w:pPr>
        <w:pStyle w:val="af1"/>
        <w:rPr>
          <w:rFonts w:ascii="Arial" w:hAnsi="Arial"/>
          <w:noProof w:val="0"/>
          <w:rtl/>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שום הטעיה בין בית לבין בניין לא אירעה מבחינה מהותית. </w:t>
      </w:r>
    </w:p>
    <w:p w:rsidR="00A57DDA" w:rsidRPr="00364A44" w:rsidRDefault="00A57DDA" w:rsidP="00A57DDA">
      <w:pPr>
        <w:pStyle w:val="af1"/>
        <w:rPr>
          <w:rFonts w:ascii="Arial" w:hAnsi="Arial"/>
          <w:noProof w:val="0"/>
          <w:rtl/>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אין בנמצא זכות בכאן לטענת יכולת לחזור מן המתנה, אין אפילו מדובר רק בהתחייבות ליתן מתנה, גם המנוחה לא העלתה טענה זו בחייה. </w:t>
      </w:r>
    </w:p>
    <w:p w:rsidR="00A57DDA" w:rsidRDefault="00A57DDA" w:rsidP="00A57DDA">
      <w:pPr>
        <w:rPr>
          <w:rFonts w:ascii="Arial" w:hAnsi="Arial"/>
          <w:noProof w:val="0"/>
          <w:rtl/>
        </w:rPr>
      </w:pPr>
    </w:p>
    <w:p w:rsidR="00A57DDA" w:rsidRPr="00364A44" w:rsidRDefault="00A57DDA" w:rsidP="00A57DDA">
      <w:pPr>
        <w:spacing w:line="360" w:lineRule="auto"/>
        <w:rPr>
          <w:rFonts w:ascii="Arial" w:hAnsi="Arial"/>
          <w:b/>
          <w:bCs/>
          <w:noProof w:val="0"/>
          <w:u w:val="single"/>
          <w:rtl/>
        </w:rPr>
      </w:pPr>
      <w:r w:rsidRPr="00364A44">
        <w:rPr>
          <w:rFonts w:ascii="Arial" w:hAnsi="Arial" w:hint="cs"/>
          <w:b/>
          <w:bCs/>
          <w:noProof w:val="0"/>
          <w:u w:val="single"/>
          <w:rtl/>
        </w:rPr>
        <w:t>דיון והכרעה</w:t>
      </w: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וכך ובצדק הגדירו התובעים את הדרוש להכרעה בסעיף 1 לסיכומיהם, לאמור: </w:t>
      </w:r>
    </w:p>
    <w:p w:rsidR="00A57DDA" w:rsidRDefault="00A57DDA" w:rsidP="00A57DDA">
      <w:pPr>
        <w:pStyle w:val="af1"/>
        <w:spacing w:line="360" w:lineRule="auto"/>
        <w:ind w:left="360"/>
        <w:jc w:val="both"/>
        <w:rPr>
          <w:rFonts w:ascii="Arial" w:hAnsi="Arial"/>
          <w:noProof w:val="0"/>
          <w:rtl/>
        </w:rPr>
      </w:pPr>
    </w:p>
    <w:p w:rsidR="00A57DDA" w:rsidRPr="00961AD9" w:rsidRDefault="00A57DDA" w:rsidP="004D17E0">
      <w:pPr>
        <w:pStyle w:val="af1"/>
        <w:spacing w:line="360" w:lineRule="auto"/>
        <w:ind w:left="360" w:firstLine="360"/>
        <w:jc w:val="both"/>
        <w:rPr>
          <w:rFonts w:ascii="Arial" w:hAnsi="Arial"/>
          <w:b/>
          <w:bCs/>
          <w:i/>
          <w:iCs/>
          <w:noProof w:val="0"/>
          <w:rtl/>
        </w:rPr>
      </w:pPr>
      <w:r w:rsidRPr="00961AD9">
        <w:rPr>
          <w:rFonts w:ascii="Arial" w:hAnsi="Arial" w:hint="cs"/>
          <w:b/>
          <w:bCs/>
          <w:i/>
          <w:iCs/>
          <w:noProof w:val="0"/>
          <w:rtl/>
        </w:rPr>
        <w:t xml:space="preserve">"א. האם דין המתנה שנתנה המנוחה לנתבע </w:t>
      </w:r>
      <w:r w:rsidR="004D17E0">
        <w:rPr>
          <w:rFonts w:ascii="Arial" w:hAnsi="Arial" w:hint="cs"/>
          <w:b/>
          <w:bCs/>
          <w:i/>
          <w:iCs/>
          <w:noProof w:val="0"/>
          <w:rtl/>
        </w:rPr>
        <w:t>...</w:t>
      </w:r>
      <w:r w:rsidRPr="00961AD9">
        <w:rPr>
          <w:rFonts w:ascii="Arial" w:hAnsi="Arial" w:hint="cs"/>
          <w:b/>
          <w:bCs/>
          <w:i/>
          <w:iCs/>
          <w:noProof w:val="0"/>
          <w:rtl/>
        </w:rPr>
        <w:t xml:space="preserve"> להתבטל?</w:t>
      </w:r>
    </w:p>
    <w:p w:rsidR="00A57DDA" w:rsidRPr="00961AD9" w:rsidRDefault="00A57DDA" w:rsidP="00A57DDA">
      <w:pPr>
        <w:pStyle w:val="af1"/>
        <w:spacing w:line="360" w:lineRule="auto"/>
        <w:jc w:val="both"/>
        <w:rPr>
          <w:rFonts w:ascii="Arial" w:hAnsi="Arial"/>
          <w:b/>
          <w:bCs/>
          <w:i/>
          <w:iCs/>
          <w:noProof w:val="0"/>
          <w:rtl/>
        </w:rPr>
      </w:pPr>
      <w:r>
        <w:rPr>
          <w:rFonts w:ascii="Arial" w:hAnsi="Arial" w:hint="cs"/>
          <w:b/>
          <w:bCs/>
          <w:i/>
          <w:iCs/>
          <w:noProof w:val="0"/>
          <w:rtl/>
        </w:rPr>
        <w:t xml:space="preserve">  </w:t>
      </w:r>
      <w:r w:rsidRPr="00961AD9">
        <w:rPr>
          <w:rFonts w:ascii="Arial" w:hAnsi="Arial" w:hint="cs"/>
          <w:b/>
          <w:bCs/>
          <w:i/>
          <w:iCs/>
          <w:noProof w:val="0"/>
          <w:rtl/>
        </w:rPr>
        <w:t xml:space="preserve">ב. במידה והתשובה לסוגיה הראשונה בשלילה, מהי המתנה אשר העניקה המנוחה?" </w:t>
      </w:r>
    </w:p>
    <w:p w:rsidR="00A57DDA" w:rsidRDefault="00A57DDA" w:rsidP="00A57DDA">
      <w:pPr>
        <w:pStyle w:val="af1"/>
        <w:spacing w:line="360" w:lineRule="auto"/>
        <w:ind w:left="360"/>
        <w:jc w:val="both"/>
        <w:rPr>
          <w:rFonts w:ascii="Arial" w:hAnsi="Arial"/>
          <w:noProof w:val="0"/>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על האמור לעיל נוספת כמובן, כנגזרת, השאלה האם במתנה עסקינן שמא רק בהתחייבות ליתן מתנה. </w:t>
      </w:r>
    </w:p>
    <w:p w:rsidR="00A57DDA" w:rsidRDefault="00A57DDA" w:rsidP="00A57DDA">
      <w:pPr>
        <w:spacing w:line="360" w:lineRule="auto"/>
        <w:jc w:val="both"/>
        <w:rPr>
          <w:rFonts w:ascii="Arial" w:hAnsi="Arial"/>
          <w:noProof w:val="0"/>
          <w:rtl/>
        </w:rPr>
      </w:pPr>
    </w:p>
    <w:p w:rsidR="00A57DDA" w:rsidRPr="00364A44" w:rsidRDefault="00A57DDA" w:rsidP="00A57DDA">
      <w:pPr>
        <w:spacing w:line="360" w:lineRule="auto"/>
        <w:jc w:val="both"/>
        <w:rPr>
          <w:rFonts w:ascii="Arial" w:hAnsi="Arial"/>
          <w:b/>
          <w:bCs/>
          <w:noProof w:val="0"/>
          <w:u w:val="single"/>
        </w:rPr>
      </w:pPr>
      <w:r w:rsidRPr="00364A44">
        <w:rPr>
          <w:rFonts w:ascii="Arial" w:hAnsi="Arial" w:hint="cs"/>
          <w:b/>
          <w:bCs/>
          <w:noProof w:val="0"/>
          <w:u w:val="single"/>
          <w:rtl/>
        </w:rPr>
        <w:t>על דיני המתנה</w:t>
      </w:r>
    </w:p>
    <w:p w:rsidR="00A57DDA" w:rsidRPr="00584091" w:rsidRDefault="00A57DDA" w:rsidP="00A57DDA">
      <w:pPr>
        <w:pStyle w:val="af1"/>
        <w:numPr>
          <w:ilvl w:val="0"/>
          <w:numId w:val="1"/>
        </w:numPr>
        <w:spacing w:line="360" w:lineRule="auto"/>
        <w:jc w:val="both"/>
        <w:rPr>
          <w:rFonts w:ascii="Arial" w:hAnsi="Arial"/>
          <w:noProof w:val="0"/>
          <w:rtl/>
        </w:rPr>
      </w:pPr>
      <w:r>
        <w:rPr>
          <w:rFonts w:ascii="Arial" w:hAnsi="Arial" w:hint="cs"/>
          <w:noProof w:val="0"/>
          <w:rtl/>
        </w:rPr>
        <w:t xml:space="preserve">וכך כתבתי בין השאר </w:t>
      </w:r>
      <w:r w:rsidRPr="00584091">
        <w:rPr>
          <w:rFonts w:ascii="Arial" w:hAnsi="Arial" w:hint="cs"/>
          <w:noProof w:val="0"/>
          <w:rtl/>
        </w:rPr>
        <w:t>ב</w:t>
      </w:r>
      <w:r>
        <w:rPr>
          <w:rFonts w:ascii="Arial" w:hAnsi="Arial" w:hint="cs"/>
          <w:noProof w:val="0"/>
          <w:rtl/>
        </w:rPr>
        <w:t xml:space="preserve">תמ"ש (ת"א) 1666-01-12 </w:t>
      </w:r>
      <w:r w:rsidRPr="00E01953">
        <w:rPr>
          <w:rFonts w:ascii="Arial" w:hAnsi="Arial" w:hint="cs"/>
          <w:b/>
          <w:bCs/>
          <w:noProof w:val="0"/>
          <w:rtl/>
        </w:rPr>
        <w:t>ל. נ' ע'</w:t>
      </w:r>
      <w:r>
        <w:rPr>
          <w:rFonts w:ascii="Arial" w:hAnsi="Arial" w:hint="cs"/>
          <w:noProof w:val="0"/>
          <w:rtl/>
        </w:rPr>
        <w:t xml:space="preserve"> (פמ"מ </w:t>
      </w:r>
      <w:r>
        <w:rPr>
          <w:rFonts w:ascii="Arial" w:hAnsi="Arial"/>
          <w:noProof w:val="0"/>
          <w:rtl/>
        </w:rPr>
        <w:t>–</w:t>
      </w:r>
      <w:r>
        <w:rPr>
          <w:rFonts w:ascii="Arial" w:hAnsi="Arial" w:hint="cs"/>
          <w:noProof w:val="0"/>
          <w:rtl/>
        </w:rPr>
        <w:t xml:space="preserve"> 29.04.2012):</w:t>
      </w:r>
    </w:p>
    <w:p w:rsidR="00A57DDA" w:rsidRPr="00DA28BC" w:rsidRDefault="00A57DDA" w:rsidP="00A57DDA">
      <w:pPr>
        <w:spacing w:line="360" w:lineRule="auto"/>
        <w:ind w:left="2160" w:right="851"/>
        <w:jc w:val="both"/>
        <w:rPr>
          <w:rFonts w:ascii="Arial" w:hAnsi="Arial"/>
          <w:b/>
          <w:bCs/>
          <w:i/>
          <w:iCs/>
          <w:noProof w:val="0"/>
          <w:sz w:val="16"/>
          <w:szCs w:val="16"/>
          <w:rtl/>
        </w:rPr>
      </w:pPr>
    </w:p>
    <w:p w:rsidR="00A57DDA" w:rsidRPr="00DA28BC" w:rsidRDefault="00A57DDA" w:rsidP="00A57DDA">
      <w:pPr>
        <w:spacing w:line="360" w:lineRule="auto"/>
        <w:ind w:left="2160"/>
        <w:jc w:val="both"/>
        <w:rPr>
          <w:rFonts w:ascii="Arial" w:hAnsi="Arial"/>
          <w:b/>
          <w:bCs/>
          <w:i/>
          <w:iCs/>
          <w:noProof w:val="0"/>
          <w:rtl/>
        </w:rPr>
      </w:pPr>
      <w:r w:rsidRPr="00DA28BC">
        <w:rPr>
          <w:rFonts w:ascii="Arial" w:hAnsi="Arial"/>
          <w:b/>
          <w:bCs/>
          <w:i/>
          <w:iCs/>
          <w:noProof w:val="0"/>
          <w:rtl/>
        </w:rPr>
        <w:t xml:space="preserve">"אין בפסיקה עוד עורר כי כאשר קיימות עדויות ברורות מהן ניתן ללמוד את כוונות הצדדים ניתן לסתור את חזקת המתנה (וראה תמ"ש (ת"א) 79133/97 כפי שהובא בפסק דינה של כב' השופטת גליק, שם)... כך גם סבר כב' סגן הנשיאה כב' השופט יעקב כהן אגב בש"א 1970/03 אותה הזכרתי קודם לכן, והדגיש אגב עמ' 2 להחלטתו כי חזקת המתנה "אינה </w:t>
      </w:r>
      <w:r w:rsidRPr="00DA28BC">
        <w:rPr>
          <w:rFonts w:ascii="Arial" w:hAnsi="Arial"/>
          <w:b/>
          <w:bCs/>
          <w:i/>
          <w:iCs/>
          <w:noProof w:val="0"/>
          <w:rtl/>
        </w:rPr>
        <w:lastRenderedPageBreak/>
        <w:t>חלה כאשר הקשר בין הצדדים, אף אם מדובר בקשרי משפחה, אינו יוצר הנחה, כי המעביר התכוון להעניק לנעבר מתנה" ".</w:t>
      </w:r>
    </w:p>
    <w:p w:rsidR="00A57DDA" w:rsidRPr="00DA28BC" w:rsidRDefault="00A57DDA" w:rsidP="00A57DDA">
      <w:pPr>
        <w:spacing w:line="360" w:lineRule="auto"/>
        <w:ind w:left="1701" w:hanging="567"/>
        <w:jc w:val="both"/>
        <w:rPr>
          <w:rFonts w:ascii="Arial" w:hAnsi="Arial"/>
          <w:b/>
          <w:bCs/>
          <w:i/>
          <w:iCs/>
          <w:noProof w:val="0"/>
          <w:rtl/>
        </w:rPr>
      </w:pPr>
    </w:p>
    <w:p w:rsidR="00A57DDA" w:rsidRPr="00DA28BC" w:rsidRDefault="00A57DDA" w:rsidP="00A57DDA">
      <w:pPr>
        <w:pStyle w:val="af1"/>
        <w:spacing w:line="360" w:lineRule="auto"/>
        <w:ind w:left="1701" w:hanging="567"/>
        <w:jc w:val="both"/>
        <w:rPr>
          <w:rFonts w:ascii="Arial" w:hAnsi="Arial"/>
          <w:b/>
          <w:bCs/>
          <w:i/>
          <w:iCs/>
          <w:noProof w:val="0"/>
          <w:rtl/>
        </w:rPr>
      </w:pPr>
      <w:r w:rsidRPr="00DA28BC">
        <w:rPr>
          <w:rFonts w:ascii="Arial" w:hAnsi="Arial"/>
          <w:b/>
          <w:bCs/>
          <w:i/>
          <w:iCs/>
          <w:noProof w:val="0"/>
          <w:rtl/>
        </w:rPr>
        <w:t>153.</w:t>
      </w:r>
      <w:r w:rsidRPr="00DA28BC">
        <w:rPr>
          <w:rFonts w:ascii="Arial" w:hAnsi="Arial"/>
          <w:b/>
          <w:bCs/>
          <w:i/>
          <w:iCs/>
          <w:noProof w:val="0"/>
          <w:rtl/>
        </w:rPr>
        <w:tab/>
        <w:t>הפועל היוצא הנוסף הוא, כי על דיני המתנה חולשת כל העת היכולת לבטל את המתנה מן הטעם שבזעקת ההגינות.</w:t>
      </w:r>
      <w:r>
        <w:rPr>
          <w:rFonts w:ascii="Arial" w:hAnsi="Arial" w:hint="cs"/>
          <w:b/>
          <w:bCs/>
          <w:i/>
          <w:iCs/>
          <w:noProof w:val="0"/>
          <w:rtl/>
        </w:rPr>
        <w:t>"</w:t>
      </w:r>
    </w:p>
    <w:p w:rsidR="00A57DDA" w:rsidRDefault="00A57DDA" w:rsidP="00A57DDA">
      <w:pPr>
        <w:pStyle w:val="af1"/>
        <w:spacing w:line="360" w:lineRule="auto"/>
        <w:ind w:left="360"/>
        <w:jc w:val="both"/>
        <w:rPr>
          <w:rFonts w:ascii="Arial" w:hAnsi="Arial"/>
          <w:noProof w:val="0"/>
          <w:rtl/>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שאלת בחינת טיבה של מתנה הניתנת לביטול בקריטריונים דומים לאלו של בטלות צוואה, קל וחומר כאשר מדובר בהתחייבות ליתן מתנה, גרמה לי גם לכתוב שם, בהתייחס ליחסי צאצאים לאימם המבוגרת, כך: </w:t>
      </w:r>
    </w:p>
    <w:p w:rsidR="00A57DDA" w:rsidRDefault="00A57DDA" w:rsidP="00A57DDA">
      <w:pPr>
        <w:pStyle w:val="af1"/>
        <w:spacing w:line="360" w:lineRule="auto"/>
        <w:ind w:left="360"/>
        <w:jc w:val="both"/>
        <w:rPr>
          <w:rFonts w:ascii="Arial" w:hAnsi="Arial"/>
          <w:noProof w:val="0"/>
          <w:rtl/>
        </w:rPr>
      </w:pPr>
    </w:p>
    <w:p w:rsidR="00A57DDA" w:rsidRPr="00B41C2A" w:rsidRDefault="00A57DDA" w:rsidP="00A57DDA">
      <w:pPr>
        <w:spacing w:line="360" w:lineRule="auto"/>
        <w:ind w:left="2126" w:hanging="686"/>
        <w:jc w:val="both"/>
        <w:rPr>
          <w:rFonts w:ascii="Arial" w:hAnsi="Arial"/>
          <w:b/>
          <w:bCs/>
          <w:i/>
          <w:iCs/>
          <w:noProof w:val="0"/>
        </w:rPr>
      </w:pPr>
      <w:r w:rsidRPr="00B41C2A">
        <w:rPr>
          <w:rFonts w:ascii="Arial" w:hAnsi="Arial"/>
          <w:b/>
          <w:bCs/>
          <w:i/>
          <w:iCs/>
          <w:noProof w:val="0"/>
          <w:rtl/>
        </w:rPr>
        <w:t>"161.</w:t>
      </w:r>
      <w:r w:rsidRPr="00B41C2A">
        <w:rPr>
          <w:rFonts w:ascii="Arial" w:hAnsi="Arial"/>
          <w:b/>
          <w:bCs/>
          <w:i/>
          <w:iCs/>
          <w:noProof w:val="0"/>
          <w:rtl/>
        </w:rPr>
        <w:tab/>
        <w:t>עסקתי בעבר רבות במידת היושר וההגינות הנדרשת בין בני משפחה. דומה כי בעניינו הנתבע לא נהג כפי שהיה מצופה ממנו לנהוג בנסיבות העניין ואבהיר כוונתי להלן;</w:t>
      </w:r>
    </w:p>
    <w:p w:rsidR="00A57DDA" w:rsidRPr="00B41C2A" w:rsidRDefault="00A57DDA" w:rsidP="00A57DDA">
      <w:pPr>
        <w:spacing w:line="360" w:lineRule="auto"/>
        <w:ind w:left="2126" w:hanging="686"/>
        <w:jc w:val="both"/>
        <w:rPr>
          <w:rFonts w:ascii="Arial" w:hAnsi="Arial"/>
          <w:b/>
          <w:bCs/>
          <w:i/>
          <w:iCs/>
          <w:noProof w:val="0"/>
          <w:rtl/>
        </w:rPr>
      </w:pPr>
      <w:r w:rsidRPr="00B41C2A">
        <w:rPr>
          <w:rFonts w:ascii="Arial" w:hAnsi="Arial"/>
          <w:b/>
          <w:bCs/>
          <w:i/>
          <w:iCs/>
          <w:noProof w:val="0"/>
          <w:rtl/>
        </w:rPr>
        <w:t>165.</w:t>
      </w:r>
      <w:r w:rsidRPr="00B41C2A">
        <w:rPr>
          <w:rFonts w:ascii="Arial" w:hAnsi="Arial"/>
          <w:b/>
          <w:bCs/>
          <w:i/>
          <w:iCs/>
          <w:noProof w:val="0"/>
          <w:rtl/>
        </w:rPr>
        <w:tab/>
        <w:t>מאליו מובן כי התנהלות שכזו, על אחת כמה וכמה, תהא נוגדת בתכלית את מידת היושר וההגינות הנדרשת בין בני משפחה (וראה למשל פסק דיני בתמ"ש (ת"א) 33219-07-12 [לא פורסם] וכן ראה בע"מ 5939/04 [פורסם במאגרים המשפטיים]).</w:t>
      </w:r>
    </w:p>
    <w:p w:rsidR="00A57DDA" w:rsidRPr="00B41C2A" w:rsidRDefault="00A57DDA" w:rsidP="00A57DDA">
      <w:pPr>
        <w:spacing w:line="360" w:lineRule="auto"/>
        <w:ind w:left="2126" w:hanging="686"/>
        <w:jc w:val="both"/>
        <w:rPr>
          <w:rFonts w:ascii="Arial" w:hAnsi="Arial"/>
          <w:b/>
          <w:bCs/>
          <w:i/>
          <w:iCs/>
          <w:noProof w:val="0"/>
          <w:rtl/>
        </w:rPr>
      </w:pPr>
      <w:r w:rsidRPr="00B41C2A">
        <w:rPr>
          <w:rFonts w:ascii="Arial" w:hAnsi="Arial"/>
          <w:b/>
          <w:bCs/>
          <w:i/>
          <w:iCs/>
          <w:noProof w:val="0"/>
          <w:rtl/>
        </w:rPr>
        <w:tab/>
        <w:t>התנהלות הנתבע הייתה למעשה ניצול הסיטואציה אשר נוצרה לתועלתו.</w:t>
      </w:r>
    </w:p>
    <w:p w:rsidR="00A57DDA" w:rsidRPr="00B41C2A" w:rsidRDefault="00A57DDA" w:rsidP="00A57DDA">
      <w:pPr>
        <w:spacing w:line="360" w:lineRule="auto"/>
        <w:ind w:left="2126" w:hanging="686"/>
        <w:jc w:val="both"/>
        <w:rPr>
          <w:rFonts w:ascii="Arial" w:hAnsi="Arial"/>
          <w:b/>
          <w:bCs/>
          <w:i/>
          <w:iCs/>
          <w:noProof w:val="0"/>
          <w:rtl/>
        </w:rPr>
      </w:pPr>
      <w:r w:rsidRPr="00B41C2A">
        <w:rPr>
          <w:rFonts w:ascii="Arial" w:hAnsi="Arial"/>
          <w:b/>
          <w:bCs/>
          <w:i/>
          <w:iCs/>
          <w:noProof w:val="0"/>
          <w:rtl/>
        </w:rPr>
        <w:t>166.</w:t>
      </w:r>
      <w:r w:rsidRPr="00B41C2A">
        <w:rPr>
          <w:rFonts w:ascii="Arial" w:hAnsi="Arial"/>
          <w:b/>
          <w:bCs/>
          <w:i/>
          <w:iCs/>
          <w:noProof w:val="0"/>
          <w:rtl/>
        </w:rPr>
        <w:tab/>
        <w:t>אמרה נשיאת ביהמ"ש העליון (בדימוס), כב' השופטת ד' ביניש, בבג"צ 5918/07 פלונית נ' בית הדין הרבני [פורסם בנבו]:</w:t>
      </w:r>
    </w:p>
    <w:p w:rsidR="00A57DDA" w:rsidRDefault="00A57DDA" w:rsidP="00A57DDA">
      <w:pPr>
        <w:spacing w:line="360" w:lineRule="auto"/>
        <w:ind w:left="2880"/>
        <w:jc w:val="both"/>
        <w:rPr>
          <w:rFonts w:ascii="Arial" w:hAnsi="Arial"/>
          <w:b/>
          <w:bCs/>
          <w:i/>
          <w:iCs/>
          <w:noProof w:val="0"/>
          <w:rtl/>
        </w:rPr>
      </w:pPr>
    </w:p>
    <w:p w:rsidR="00A57DDA" w:rsidRPr="00B41C2A" w:rsidRDefault="00A57DDA" w:rsidP="00A57DDA">
      <w:pPr>
        <w:spacing w:line="360" w:lineRule="auto"/>
        <w:ind w:left="2880"/>
        <w:jc w:val="both"/>
        <w:rPr>
          <w:rFonts w:ascii="Arial" w:hAnsi="Arial"/>
          <w:b/>
          <w:bCs/>
          <w:i/>
          <w:iCs/>
          <w:noProof w:val="0"/>
          <w:rtl/>
        </w:rPr>
      </w:pPr>
      <w:r w:rsidRPr="00B41C2A">
        <w:rPr>
          <w:rFonts w:ascii="Arial" w:hAnsi="Arial"/>
          <w:b/>
          <w:bCs/>
          <w:i/>
          <w:iCs/>
          <w:noProof w:val="0"/>
          <w:rtl/>
        </w:rPr>
        <w:t>"תחולתו של עקרון תום-הלב אינה מוגבלת לדיני החוזים והיא מתפרשת על כלל תחומי המשפט. בין היתר, חל עקרון – תום הלב בתחום סדרי הדין האזרחיים. מהותה של חובת תום-הלב בתחום הדיוני הינה על בעלי- הדין להפעיל את הזכויות והחיובים המעוגנים בכללי הפרוצדורה האזרחית בדרך מקובלת, ביושר ותוך הגינות בסיסית המתחייבת אף ביחסים שבין צדדים "יריבים" (ראו: אהרון ברק פרשנות במשפט – פרשנות החקיקה כרך 1993) (להלן: ברק- פרשנות החקיקה; דודי שוורץ סדר דין אזרחי – 23) ב' 550 חידושים, תהליכים, ומגמות 73 ואילך (תשס"ז)). על בעלי – הדין לפעול בסבירות ובהגינות במסגרת ניהול הליכי המשפט וזאת בהתחשב במכלול נסיבות העניין (ראו: בש"א 6479/06 בנק דיסקונט לישראל בע"מ נ' שנפ (טרם פורסם, 15.1.2007) פס' 4 והאסמכתאות המובאות שם)...</w:t>
      </w:r>
    </w:p>
    <w:p w:rsidR="00A57DDA" w:rsidRDefault="00A57DDA" w:rsidP="00A57DDA">
      <w:pPr>
        <w:spacing w:line="360" w:lineRule="auto"/>
        <w:ind w:left="2880"/>
        <w:jc w:val="both"/>
        <w:rPr>
          <w:rFonts w:ascii="Arial" w:hAnsi="Arial"/>
          <w:b/>
          <w:bCs/>
          <w:i/>
          <w:iCs/>
          <w:noProof w:val="0"/>
          <w:rtl/>
        </w:rPr>
      </w:pPr>
      <w:r w:rsidRPr="00B41C2A">
        <w:rPr>
          <w:rFonts w:ascii="Arial" w:hAnsi="Arial"/>
          <w:b/>
          <w:bCs/>
          <w:i/>
          <w:iCs/>
          <w:noProof w:val="0"/>
          <w:rtl/>
        </w:rPr>
        <w:lastRenderedPageBreak/>
        <w:t>ככלל, התפיסה המ</w:t>
      </w:r>
      <w:r>
        <w:rPr>
          <w:rFonts w:ascii="Arial" w:hAnsi="Arial" w:hint="cs"/>
          <w:b/>
          <w:bCs/>
          <w:i/>
          <w:iCs/>
          <w:noProof w:val="0"/>
          <w:rtl/>
        </w:rPr>
        <w:t>נ</w:t>
      </w:r>
      <w:r w:rsidRPr="00B41C2A">
        <w:rPr>
          <w:rFonts w:ascii="Arial" w:hAnsi="Arial"/>
          <w:b/>
          <w:bCs/>
          <w:i/>
          <w:iCs/>
          <w:noProof w:val="0"/>
          <w:rtl/>
        </w:rPr>
        <w:t>חה בהקשר זה הינה כי השמירה על האינטרס האישי של בעל דין צריכה להיעשות תוך התחשבות בציפיות הדיוניות המוצדקות של הצדדים האחרים להליך, ותוך מילוי חובותיו של בעל – דין כלפי בית-המשפט. יוער כי בדומה לעקרון תום-הלב, אף האיסור על ניצול לרעה של הליכי משפט מבוסס בעיקרו על אמת -  מידה אובייקטיבית – הנגזרת מרמת ההתנהגות המצופה והראויה בהתאם לנסיבותיו של כל מקרה. כוונותיו הסובייקטיביות של בעל דין והשאלה האם פעל בזדון עשויה להשליך על המסקנה האם נעשה שימוש לרעה בהליכי משפט; עם זאת, אמת – המידה המרכזית בהקשר זה הינה סבירות והגינות, קרי – כיצד בעל דין סביר והגון היה נוהג בנסיבות המק</w:t>
      </w:r>
      <w:r>
        <w:rPr>
          <w:rFonts w:ascii="Arial" w:hAnsi="Arial"/>
          <w:b/>
          <w:bCs/>
          <w:i/>
          <w:iCs/>
          <w:noProof w:val="0"/>
          <w:rtl/>
        </w:rPr>
        <w:t>רה"</w:t>
      </w:r>
      <w:r>
        <w:rPr>
          <w:rFonts w:ascii="Arial" w:hAnsi="Arial" w:hint="cs"/>
          <w:b/>
          <w:bCs/>
          <w:i/>
          <w:iCs/>
          <w:noProof w:val="0"/>
          <w:rtl/>
        </w:rPr>
        <w:t>.</w:t>
      </w:r>
    </w:p>
    <w:p w:rsidR="00A57DDA" w:rsidRPr="00B41C2A" w:rsidRDefault="00A57DDA" w:rsidP="00A57DDA">
      <w:pPr>
        <w:spacing w:line="360" w:lineRule="auto"/>
        <w:ind w:left="2880"/>
        <w:jc w:val="center"/>
        <w:rPr>
          <w:rFonts w:ascii="Arial" w:hAnsi="Arial"/>
          <w:b/>
          <w:bCs/>
          <w:i/>
          <w:iCs/>
          <w:noProof w:val="0"/>
          <w:rtl/>
        </w:rPr>
      </w:pPr>
      <w:r>
        <w:rPr>
          <w:rFonts w:ascii="Arial" w:hAnsi="Arial" w:hint="cs"/>
          <w:b/>
          <w:bCs/>
          <w:i/>
          <w:iCs/>
          <w:noProof w:val="0"/>
          <w:rtl/>
        </w:rPr>
        <w:t>...</w:t>
      </w:r>
    </w:p>
    <w:p w:rsidR="00A57DDA" w:rsidRPr="00B41C2A" w:rsidRDefault="00A57DDA" w:rsidP="00A57DDA">
      <w:pPr>
        <w:spacing w:line="360" w:lineRule="auto"/>
        <w:ind w:left="1417"/>
        <w:jc w:val="both"/>
        <w:rPr>
          <w:rFonts w:ascii="Arial" w:hAnsi="Arial"/>
          <w:b/>
          <w:bCs/>
          <w:i/>
          <w:iCs/>
          <w:noProof w:val="0"/>
        </w:rPr>
      </w:pPr>
      <w:r>
        <w:rPr>
          <w:rFonts w:ascii="Arial" w:hAnsi="Arial" w:hint="cs"/>
          <w:b/>
          <w:bCs/>
          <w:i/>
          <w:iCs/>
          <w:noProof w:val="0"/>
          <w:rtl/>
        </w:rPr>
        <w:t>"</w:t>
      </w:r>
      <w:r w:rsidRPr="00B41C2A">
        <w:rPr>
          <w:rFonts w:ascii="Arial" w:hAnsi="Arial"/>
          <w:b/>
          <w:bCs/>
          <w:i/>
          <w:iCs/>
          <w:noProof w:val="0"/>
          <w:rtl/>
        </w:rPr>
        <w:t>אומר ולא אבוש, כי המשפט חותר לנורמה של התנהגות הגונה כמצופה מאדם ביחס לאדם ובמילים אחרות מצופה מצאצא לבל ייטול מרכוש הורהו אם קיים ספק בכושרו להחליט בראי טובתו ולבל יציגו ככלי ריק לעת זקנתו ויפנה גבו אליו.</w:t>
      </w:r>
    </w:p>
    <w:p w:rsidR="00A57DDA" w:rsidRPr="00B41C2A" w:rsidRDefault="00A57DDA" w:rsidP="00A57DDA">
      <w:pPr>
        <w:spacing w:line="360" w:lineRule="auto"/>
        <w:ind w:left="1417" w:hanging="283"/>
        <w:jc w:val="both"/>
        <w:rPr>
          <w:rFonts w:ascii="Arial" w:hAnsi="Arial"/>
          <w:b/>
          <w:bCs/>
          <w:i/>
          <w:iCs/>
          <w:noProof w:val="0"/>
          <w:rtl/>
        </w:rPr>
      </w:pPr>
    </w:p>
    <w:p w:rsidR="00A57DDA" w:rsidRPr="00B41C2A" w:rsidRDefault="00A57DDA" w:rsidP="00A57DDA">
      <w:pPr>
        <w:spacing w:line="360" w:lineRule="auto"/>
        <w:ind w:left="1417"/>
        <w:jc w:val="both"/>
        <w:rPr>
          <w:rFonts w:ascii="Arial" w:hAnsi="Arial"/>
          <w:b/>
          <w:bCs/>
          <w:i/>
          <w:iCs/>
          <w:noProof w:val="0"/>
          <w:rtl/>
        </w:rPr>
      </w:pPr>
      <w:r w:rsidRPr="00B41C2A">
        <w:rPr>
          <w:rFonts w:ascii="Arial" w:hAnsi="Arial"/>
          <w:b/>
          <w:bCs/>
          <w:i/>
          <w:iCs/>
          <w:noProof w:val="0"/>
          <w:rtl/>
        </w:rPr>
        <w:t>אם רוצים אנו להבין שיקולי צדק והגינות מהם, נאמר בבע"מ 5939/04 פלוני נ' פלונית פ"ד נט(1) 665, מפי כב' השופט אליקים רובינשטיין, כך:</w:t>
      </w:r>
    </w:p>
    <w:p w:rsidR="00A57DDA" w:rsidRDefault="00A57DDA" w:rsidP="00A57DDA">
      <w:pPr>
        <w:spacing w:line="360" w:lineRule="auto"/>
        <w:ind w:left="1417" w:right="851" w:hanging="283"/>
        <w:jc w:val="both"/>
        <w:rPr>
          <w:rFonts w:ascii="Arial" w:hAnsi="Arial"/>
          <w:b/>
          <w:bCs/>
          <w:i/>
          <w:iCs/>
          <w:noProof w:val="0"/>
          <w:rtl/>
        </w:rPr>
      </w:pPr>
    </w:p>
    <w:p w:rsidR="00A57DDA" w:rsidRPr="00B41C2A" w:rsidRDefault="00A57DDA" w:rsidP="00A57DDA">
      <w:pPr>
        <w:spacing w:line="360" w:lineRule="auto"/>
        <w:ind w:left="2160"/>
        <w:jc w:val="both"/>
        <w:rPr>
          <w:rFonts w:ascii="Arial" w:hAnsi="Arial"/>
          <w:b/>
          <w:bCs/>
          <w:i/>
          <w:iCs/>
          <w:noProof w:val="0"/>
          <w:rtl/>
        </w:rPr>
      </w:pPr>
      <w:r w:rsidRPr="00B41C2A">
        <w:rPr>
          <w:rFonts w:ascii="Arial" w:hAnsi="Arial"/>
          <w:b/>
          <w:bCs/>
          <w:i/>
          <w:iCs/>
          <w:noProof w:val="0"/>
          <w:rtl/>
        </w:rPr>
        <w:t>"בעיני, בצד כל אלה יש ביסוד הדברים ציפיה להגינות ביחסים בין בני אדם בכלל – נגזרת של תום לב החולש על המשפט הפרטי (ראו והשווה סעיפים 39 ו-61 לחוק החוזים (חלק כללי), התשל"ג-1973), בבחינת "אדם לאדם – אדם" (הנשיא ברק, רע"א 6339/97 רוקר נ' סלומון, פ"ד נה(1)199).  זו גם תמציתו הערכית של הכלל "ועשית הישר והטוב" (דברים ו', י"ח)".</w:t>
      </w:r>
    </w:p>
    <w:p w:rsidR="00A57DDA" w:rsidRPr="00B41C2A" w:rsidRDefault="00A57DDA" w:rsidP="00A57DDA">
      <w:pPr>
        <w:spacing w:line="360" w:lineRule="auto"/>
        <w:ind w:left="1417" w:hanging="283"/>
        <w:jc w:val="both"/>
        <w:rPr>
          <w:rFonts w:ascii="Arial" w:hAnsi="Arial"/>
          <w:b/>
          <w:bCs/>
          <w:i/>
          <w:iCs/>
          <w:noProof w:val="0"/>
          <w:rtl/>
        </w:rPr>
      </w:pPr>
    </w:p>
    <w:p w:rsidR="00A57DDA" w:rsidRPr="00B41C2A" w:rsidRDefault="00A57DDA" w:rsidP="00A57DDA">
      <w:pPr>
        <w:spacing w:line="360" w:lineRule="auto"/>
        <w:ind w:left="1701" w:hanging="567"/>
        <w:jc w:val="both"/>
        <w:rPr>
          <w:rFonts w:ascii="Arial" w:hAnsi="Arial"/>
          <w:b/>
          <w:bCs/>
          <w:i/>
          <w:iCs/>
          <w:noProof w:val="0"/>
          <w:rtl/>
        </w:rPr>
      </w:pPr>
      <w:r w:rsidRPr="00B41C2A">
        <w:rPr>
          <w:rFonts w:ascii="Arial" w:hAnsi="Arial"/>
          <w:b/>
          <w:bCs/>
          <w:i/>
          <w:iCs/>
          <w:noProof w:val="0"/>
          <w:rtl/>
        </w:rPr>
        <w:t>159.</w:t>
      </w:r>
      <w:r w:rsidRPr="00B41C2A">
        <w:rPr>
          <w:rFonts w:ascii="Arial" w:hAnsi="Arial"/>
          <w:b/>
          <w:bCs/>
          <w:i/>
          <w:iCs/>
          <w:noProof w:val="0"/>
          <w:rtl/>
        </w:rPr>
        <w:tab/>
        <w:t>ואם אין רצונך ללמוד על חובה זו מכוח חובת תום הלב וההגינות אנא למד אותה מחובת הזהירות וההתנהגות כאדם סביר לבל תמצא מעוול ברשלנות כלפי הוריך (וראה לעיל פס"ד בתמ"ש (ת"א) 17364-12-12 שם) די בכך כדי לקבל התובענה.</w:t>
      </w:r>
    </w:p>
    <w:p w:rsidR="00A57DDA" w:rsidRPr="00B41C2A" w:rsidRDefault="00A57DDA" w:rsidP="00A57DDA">
      <w:pPr>
        <w:spacing w:line="360" w:lineRule="auto"/>
        <w:ind w:left="1701" w:hanging="567"/>
        <w:jc w:val="both"/>
        <w:rPr>
          <w:rFonts w:ascii="Arial" w:hAnsi="Arial"/>
          <w:b/>
          <w:bCs/>
          <w:i/>
          <w:iCs/>
          <w:noProof w:val="0"/>
          <w:rtl/>
        </w:rPr>
      </w:pPr>
    </w:p>
    <w:p w:rsidR="00A57DDA" w:rsidRDefault="00A57DDA" w:rsidP="00A57DDA">
      <w:pPr>
        <w:spacing w:line="360" w:lineRule="auto"/>
        <w:ind w:left="1701" w:hanging="567"/>
        <w:jc w:val="both"/>
        <w:rPr>
          <w:rFonts w:ascii="Arial" w:hAnsi="Arial"/>
          <w:b/>
          <w:bCs/>
          <w:i/>
          <w:iCs/>
          <w:noProof w:val="0"/>
          <w:rtl/>
        </w:rPr>
      </w:pPr>
      <w:r w:rsidRPr="00B41C2A">
        <w:rPr>
          <w:rFonts w:ascii="Arial" w:hAnsi="Arial"/>
          <w:b/>
          <w:bCs/>
          <w:i/>
          <w:iCs/>
          <w:noProof w:val="0"/>
          <w:rtl/>
        </w:rPr>
        <w:t>160.</w:t>
      </w:r>
      <w:r w:rsidRPr="00B41C2A">
        <w:rPr>
          <w:rFonts w:ascii="Arial" w:hAnsi="Arial"/>
          <w:b/>
          <w:bCs/>
          <w:i/>
          <w:iCs/>
          <w:noProof w:val="0"/>
          <w:rtl/>
        </w:rPr>
        <w:tab/>
        <w:t>מסעיף 156 לסיכומיה החלה העמותה דנה בשאלת גמירות הדעת בעסקת המתנה שבין החסוי לנתבעים וכך כתבה:</w:t>
      </w:r>
    </w:p>
    <w:p w:rsidR="00A57DDA" w:rsidRPr="00B41C2A" w:rsidRDefault="00A57DDA" w:rsidP="00A57DDA">
      <w:pPr>
        <w:spacing w:line="360" w:lineRule="auto"/>
        <w:ind w:left="1701" w:hanging="567"/>
        <w:jc w:val="both"/>
        <w:rPr>
          <w:rFonts w:ascii="Arial" w:hAnsi="Arial"/>
          <w:b/>
          <w:bCs/>
          <w:i/>
          <w:iCs/>
          <w:noProof w:val="0"/>
          <w:rtl/>
        </w:rPr>
      </w:pPr>
    </w:p>
    <w:p w:rsidR="00A57DDA" w:rsidRPr="00B41C2A" w:rsidRDefault="00A57DDA" w:rsidP="00A57DDA">
      <w:pPr>
        <w:spacing w:line="360" w:lineRule="auto"/>
        <w:ind w:left="2880" w:hanging="720"/>
        <w:jc w:val="both"/>
        <w:rPr>
          <w:rFonts w:ascii="Arial" w:hAnsi="Arial"/>
          <w:b/>
          <w:bCs/>
          <w:i/>
          <w:iCs/>
          <w:noProof w:val="0"/>
          <w:rtl/>
        </w:rPr>
      </w:pPr>
      <w:r w:rsidRPr="00B41C2A">
        <w:rPr>
          <w:rFonts w:ascii="Arial" w:hAnsi="Arial"/>
          <w:b/>
          <w:bCs/>
          <w:i/>
          <w:iCs/>
          <w:noProof w:val="0"/>
          <w:rtl/>
        </w:rPr>
        <w:lastRenderedPageBreak/>
        <w:t>"52.</w:t>
      </w:r>
      <w:r w:rsidRPr="00B41C2A">
        <w:rPr>
          <w:rFonts w:ascii="Arial" w:hAnsi="Arial"/>
          <w:b/>
          <w:bCs/>
          <w:i/>
          <w:iCs/>
          <w:noProof w:val="0"/>
          <w:rtl/>
        </w:rPr>
        <w:tab/>
        <w:t>גמירות הדעת של כל הצדדים להסכם הכרחית על מנת לשכלל הסכם מחייב (</w:t>
      </w:r>
      <w:r w:rsidRPr="00B41C2A">
        <w:rPr>
          <w:rFonts w:ascii="Arial" w:hAnsi="Arial"/>
          <w:b/>
          <w:bCs/>
          <w:i/>
          <w:iCs/>
          <w:noProof w:val="0"/>
          <w:u w:val="single"/>
          <w:rtl/>
        </w:rPr>
        <w:t>סעיפים 2 ו 5- לחוק החוזים (חלק כללי), תשל"ג - 1973</w:t>
      </w:r>
      <w:r w:rsidRPr="00B41C2A">
        <w:rPr>
          <w:rFonts w:ascii="Arial" w:hAnsi="Arial"/>
          <w:b/>
          <w:bCs/>
          <w:i/>
          <w:iCs/>
          <w:noProof w:val="0"/>
          <w:rtl/>
        </w:rPr>
        <w:t xml:space="preserve"> (להלן </w:t>
      </w:r>
      <w:r w:rsidRPr="00B41C2A">
        <w:rPr>
          <w:rFonts w:ascii="Arial" w:hAnsi="Arial"/>
          <w:b/>
          <w:bCs/>
          <w:i/>
          <w:iCs/>
          <w:noProof w:val="0"/>
          <w:u w:val="single"/>
          <w:rtl/>
        </w:rPr>
        <w:t>"חוק החוזים"</w:t>
      </w:r>
      <w:r w:rsidRPr="00B41C2A">
        <w:rPr>
          <w:rFonts w:ascii="Arial" w:hAnsi="Arial"/>
          <w:b/>
          <w:bCs/>
          <w:i/>
          <w:iCs/>
          <w:noProof w:val="0"/>
          <w:rtl/>
        </w:rPr>
        <w:t>). הבחינה היא, אם במועד החתימה על המסמכים, מנע הליקוי הנפשי ממנו סבלה החסויה את יכולתה לגבש גמירות דעת. זוהי שאלה עובדתית ביסודה (וראו ע"א 1109/99 ברקוביץ נ' ברקוביץ, ניתן ביום 14/7/99 , פורסם בתוכנות).</w:t>
      </w:r>
    </w:p>
    <w:p w:rsidR="00A57DDA" w:rsidRPr="00B41C2A" w:rsidRDefault="00A57DDA" w:rsidP="00A57DDA">
      <w:pPr>
        <w:spacing w:line="360" w:lineRule="auto"/>
        <w:ind w:left="2880"/>
        <w:jc w:val="both"/>
        <w:rPr>
          <w:rFonts w:ascii="Arial" w:hAnsi="Arial"/>
          <w:b/>
          <w:bCs/>
          <w:i/>
          <w:iCs/>
          <w:noProof w:val="0"/>
          <w:rtl/>
        </w:rPr>
      </w:pPr>
      <w:r w:rsidRPr="00B41C2A">
        <w:rPr>
          <w:rFonts w:ascii="Arial" w:hAnsi="Arial"/>
          <w:b/>
          <w:bCs/>
          <w:i/>
          <w:iCs/>
          <w:noProof w:val="0"/>
          <w:rtl/>
        </w:rPr>
        <w:t>פרופ' גבריאלה שלו, מגדירה בספרה דיני חחים (מהדורה שניה-תשנ"ה), בעמ' 86 (להלן- "ספרה של שלו"), מהי גמירות דעת:</w:t>
      </w:r>
    </w:p>
    <w:p w:rsidR="00A57DDA" w:rsidRDefault="00A57DDA" w:rsidP="00A57DDA">
      <w:pPr>
        <w:spacing w:line="360" w:lineRule="auto"/>
        <w:ind w:left="1701" w:right="1701" w:hanging="567"/>
        <w:jc w:val="both"/>
        <w:rPr>
          <w:rFonts w:ascii="Arial" w:hAnsi="Arial"/>
          <w:b/>
          <w:bCs/>
          <w:i/>
          <w:iCs/>
          <w:noProof w:val="0"/>
          <w:rtl/>
        </w:rPr>
      </w:pPr>
    </w:p>
    <w:p w:rsidR="00A57DDA" w:rsidRPr="00B41C2A" w:rsidRDefault="00A57DDA" w:rsidP="00A57DDA">
      <w:pPr>
        <w:spacing w:line="360" w:lineRule="auto"/>
        <w:ind w:left="3600"/>
        <w:jc w:val="both"/>
        <w:rPr>
          <w:rFonts w:ascii="Arial" w:hAnsi="Arial"/>
          <w:b/>
          <w:bCs/>
          <w:i/>
          <w:iCs/>
          <w:noProof w:val="0"/>
          <w:rtl/>
        </w:rPr>
      </w:pPr>
      <w:r w:rsidRPr="00B41C2A">
        <w:rPr>
          <w:rFonts w:ascii="Arial" w:hAnsi="Arial"/>
          <w:b/>
          <w:bCs/>
          <w:i/>
          <w:iCs/>
          <w:noProof w:val="0"/>
          <w:rtl/>
        </w:rPr>
        <w:t>"רצון מגובש, כוונה רצינית להתקשר בחוזה והחלטיות. בניגוד לכוונה ליצור יחסים משפטיים שהיא מופשטת וכללית, גמירות-הדעת היא מוגדרת וצריכה להיות מכוונת להתקשרות מסוימת עם צד מסוים".</w:t>
      </w:r>
    </w:p>
    <w:p w:rsidR="00A57DDA" w:rsidRDefault="00A57DDA" w:rsidP="00A57DDA">
      <w:pPr>
        <w:spacing w:line="360" w:lineRule="auto"/>
        <w:ind w:left="1701" w:right="851"/>
        <w:jc w:val="both"/>
        <w:rPr>
          <w:rFonts w:ascii="Arial" w:hAnsi="Arial"/>
          <w:b/>
          <w:bCs/>
          <w:i/>
          <w:iCs/>
          <w:noProof w:val="0"/>
          <w:rtl/>
        </w:rPr>
      </w:pPr>
    </w:p>
    <w:p w:rsidR="00A57DDA" w:rsidRDefault="00A57DDA" w:rsidP="00A57DDA">
      <w:pPr>
        <w:spacing w:line="360" w:lineRule="auto"/>
        <w:ind w:left="1701"/>
        <w:jc w:val="both"/>
        <w:rPr>
          <w:rFonts w:ascii="Arial" w:hAnsi="Arial"/>
          <w:b/>
          <w:bCs/>
          <w:i/>
          <w:iCs/>
          <w:noProof w:val="0"/>
          <w:rtl/>
        </w:rPr>
      </w:pPr>
      <w:r w:rsidRPr="00B41C2A">
        <w:rPr>
          <w:rFonts w:ascii="Arial" w:hAnsi="Arial"/>
          <w:b/>
          <w:bCs/>
          <w:i/>
          <w:iCs/>
          <w:noProof w:val="0"/>
          <w:rtl/>
        </w:rPr>
        <w:t>המבחן לקיומה של גמירות דעת הוא מבחן אובייקטיבי חיצוני, הבוחן את התנהגות הצדדים ואת נסיבות העניין לפני כריתת החוזה ולאחריו:</w:t>
      </w:r>
    </w:p>
    <w:p w:rsidR="00A57DDA" w:rsidRPr="00B41C2A" w:rsidRDefault="00A57DDA" w:rsidP="00A57DDA">
      <w:pPr>
        <w:spacing w:line="360" w:lineRule="auto"/>
        <w:ind w:left="1701"/>
        <w:jc w:val="both"/>
        <w:rPr>
          <w:rFonts w:ascii="Arial" w:hAnsi="Arial"/>
          <w:b/>
          <w:bCs/>
          <w:i/>
          <w:iCs/>
          <w:noProof w:val="0"/>
          <w:rtl/>
        </w:rPr>
      </w:pPr>
    </w:p>
    <w:p w:rsidR="00A57DDA" w:rsidRPr="00B41C2A" w:rsidRDefault="00A57DDA" w:rsidP="00A57DDA">
      <w:pPr>
        <w:spacing w:line="360" w:lineRule="auto"/>
        <w:ind w:left="2160"/>
        <w:jc w:val="both"/>
        <w:rPr>
          <w:rFonts w:ascii="Arial" w:hAnsi="Arial"/>
          <w:b/>
          <w:bCs/>
          <w:i/>
          <w:iCs/>
          <w:noProof w:val="0"/>
          <w:rtl/>
        </w:rPr>
      </w:pPr>
      <w:r w:rsidRPr="00B41C2A">
        <w:rPr>
          <w:rFonts w:ascii="Arial" w:hAnsi="Arial"/>
          <w:b/>
          <w:bCs/>
          <w:i/>
          <w:iCs/>
          <w:noProof w:val="0"/>
          <w:rtl/>
        </w:rPr>
        <w:t>''קנה המידה האובייקטיבי אינו של אדם חיצוני, זר להתקשרות, אלא של המתקשרים עצמם, שאת מעשיהם, דבריהם, התנהגותם, יש להעביר במשקפת הסבירות, ולשאול אם מתקשר סביר במעמדם היה מסיק ממה שהתרחש ביניהם, כי הם אכן גמרו בדעתם לכרות חוזה'' (ד' פרידמן, נ' כהן חוזים כרך א', עמ' 157 , להלן- "ספרם של פרידמן וכהן'').</w:t>
      </w:r>
    </w:p>
    <w:p w:rsidR="00A57DDA" w:rsidRPr="00B41C2A" w:rsidRDefault="00A57DDA" w:rsidP="00A57DDA">
      <w:pPr>
        <w:spacing w:line="360" w:lineRule="auto"/>
        <w:ind w:left="1701" w:hanging="567"/>
        <w:rPr>
          <w:rFonts w:ascii="Arial" w:hAnsi="Arial"/>
          <w:b/>
          <w:bCs/>
          <w:i/>
          <w:iCs/>
          <w:noProof w:val="0"/>
          <w:rtl/>
        </w:rPr>
      </w:pPr>
    </w:p>
    <w:p w:rsidR="00A57DDA" w:rsidRPr="00B41C2A" w:rsidRDefault="00A57DDA" w:rsidP="00A57DDA">
      <w:pPr>
        <w:spacing w:line="360" w:lineRule="auto"/>
        <w:ind w:left="2880" w:hanging="720"/>
        <w:jc w:val="both"/>
        <w:rPr>
          <w:rFonts w:ascii="Arial" w:hAnsi="Arial"/>
          <w:b/>
          <w:bCs/>
          <w:i/>
          <w:iCs/>
          <w:noProof w:val="0"/>
          <w:rtl/>
        </w:rPr>
      </w:pPr>
      <w:r w:rsidRPr="00B41C2A">
        <w:rPr>
          <w:rFonts w:ascii="Arial" w:hAnsi="Arial"/>
          <w:b/>
          <w:bCs/>
          <w:i/>
          <w:iCs/>
          <w:noProof w:val="0"/>
          <w:rtl/>
        </w:rPr>
        <w:t>53.</w:t>
      </w:r>
      <w:r w:rsidRPr="00B41C2A">
        <w:rPr>
          <w:rFonts w:ascii="Arial" w:hAnsi="Arial"/>
          <w:b/>
          <w:bCs/>
          <w:i/>
          <w:iCs/>
          <w:noProof w:val="0"/>
          <w:rtl/>
        </w:rPr>
        <w:tab/>
        <w:t xml:space="preserve">אצל הלקוי בדעתו, המימד האובייקטיבי של גמירות הדעת, אינו בהכרח הוכחה על גמירת הדעת: </w:t>
      </w:r>
    </w:p>
    <w:p w:rsidR="00A57DDA" w:rsidRDefault="00A57DDA" w:rsidP="00A57DDA">
      <w:pPr>
        <w:spacing w:line="360" w:lineRule="auto"/>
        <w:ind w:left="1701" w:hanging="567"/>
        <w:jc w:val="both"/>
        <w:rPr>
          <w:rFonts w:ascii="Arial" w:hAnsi="Arial"/>
          <w:b/>
          <w:bCs/>
          <w:i/>
          <w:iCs/>
          <w:noProof w:val="0"/>
          <w:rtl/>
        </w:rPr>
      </w:pPr>
    </w:p>
    <w:p w:rsidR="00A57DDA" w:rsidRPr="00B41C2A" w:rsidRDefault="00A57DDA" w:rsidP="00A57DDA">
      <w:pPr>
        <w:spacing w:line="360" w:lineRule="auto"/>
        <w:ind w:left="3600"/>
        <w:jc w:val="both"/>
        <w:rPr>
          <w:rFonts w:ascii="Arial" w:hAnsi="Arial"/>
          <w:b/>
          <w:bCs/>
          <w:i/>
          <w:iCs/>
          <w:noProof w:val="0"/>
          <w:rtl/>
        </w:rPr>
      </w:pPr>
      <w:r w:rsidRPr="00B41C2A">
        <w:rPr>
          <w:rFonts w:ascii="Arial" w:hAnsi="Arial"/>
          <w:b/>
          <w:bCs/>
          <w:i/>
          <w:iCs/>
          <w:noProof w:val="0"/>
          <w:rtl/>
        </w:rPr>
        <w:t xml:space="preserve">''במיוחד כאשר מדובר בלקוי בדעתו, עלול להיווצר מצב שבו הגילוי החיצוני המתבטא בחתימה על מסמך אשר נראה על פי אמת-מידה אובייקטיבית, כמשקף את רצונו של המעניק, אינו מספיק כדי לבטא הצהרה של כוונה. בנסיבות שבהן המצהיר לקוי בדעתו, נחלשת ההנחה המבוססת על ניסיון החיים כי יש בחתימה משום הצהרה ברורה של כוונה'' (ע''א 3601/96 בראשי ואח' נ' עזבון </w:t>
      </w:r>
      <w:r w:rsidRPr="00B41C2A">
        <w:rPr>
          <w:rFonts w:ascii="Arial" w:hAnsi="Arial"/>
          <w:b/>
          <w:bCs/>
          <w:i/>
          <w:iCs/>
          <w:noProof w:val="0"/>
          <w:rtl/>
        </w:rPr>
        <w:lastRenderedPageBreak/>
        <w:t xml:space="preserve">מנוח זלמן בראשי ז''ל, פ"ד נב(2 ) 598 ,582 , להלן- ''פס"ד בראשי''). </w:t>
      </w:r>
    </w:p>
    <w:p w:rsidR="00A57DDA" w:rsidRPr="00B41C2A" w:rsidRDefault="00A57DDA" w:rsidP="00A57DDA">
      <w:pPr>
        <w:spacing w:line="360" w:lineRule="auto"/>
        <w:ind w:left="1701" w:hanging="567"/>
        <w:jc w:val="both"/>
        <w:rPr>
          <w:rFonts w:ascii="Arial" w:hAnsi="Arial"/>
          <w:b/>
          <w:bCs/>
          <w:i/>
          <w:iCs/>
          <w:noProof w:val="0"/>
          <w:rtl/>
        </w:rPr>
      </w:pPr>
    </w:p>
    <w:p w:rsidR="00A57DDA" w:rsidRPr="00B41C2A" w:rsidRDefault="00A57DDA" w:rsidP="00A57DDA">
      <w:pPr>
        <w:spacing w:line="360" w:lineRule="auto"/>
        <w:ind w:left="1701"/>
        <w:jc w:val="both"/>
        <w:rPr>
          <w:rFonts w:ascii="Arial" w:hAnsi="Arial"/>
          <w:b/>
          <w:bCs/>
          <w:i/>
          <w:iCs/>
          <w:noProof w:val="0"/>
          <w:rtl/>
        </w:rPr>
      </w:pPr>
      <w:r w:rsidRPr="00B41C2A">
        <w:rPr>
          <w:rFonts w:ascii="Arial" w:hAnsi="Arial"/>
          <w:b/>
          <w:bCs/>
          <w:i/>
          <w:iCs/>
          <w:noProof w:val="0"/>
          <w:rtl/>
        </w:rPr>
        <w:t xml:space="preserve">הדברים נכתבו בפס"ד בראשי בהקשר של חוזה מתנה, ויש בהם כדי להשליך גם על ענייננו. עוד נכתב שם, שאמנם אינטרס ההסתמכות של מקבל המתנה הוא ראוי להגנה, וניתן להתייחס לגילוי חיצוני של כוונת המתקשר כאל גמירת דעת, אולם בחוזה מתנה ציפיות מקבל המתנה יוכרו כלגיטימיות רק כאשר "הנסיבות והתנהגות הצדדים מצביעות בצורה ברורה וחד משמעית על כוונתו של המעניק להתקשר בחוזה" (שם) (לעניין החתימה כגורם חיצוני, שלא בהכרח מעידה על גמירות דעת החותם, ראו </w:t>
      </w:r>
      <w:r w:rsidRPr="00B41C2A">
        <w:rPr>
          <w:rFonts w:ascii="Arial" w:hAnsi="Arial"/>
          <w:b/>
          <w:bCs/>
          <w:i/>
          <w:iCs/>
          <w:noProof w:val="0"/>
          <w:u w:val="single"/>
          <w:rtl/>
        </w:rPr>
        <w:t>ע"א 1932/90</w:t>
      </w:r>
      <w:r w:rsidRPr="00B41C2A">
        <w:rPr>
          <w:rFonts w:ascii="Arial" w:hAnsi="Arial"/>
          <w:b/>
          <w:bCs/>
          <w:i/>
          <w:iCs/>
          <w:noProof w:val="0"/>
          <w:rtl/>
        </w:rPr>
        <w:t xml:space="preserve"> פרץ בוני הנגב - אחים פרץ בע"מ ני בוחבוט, פ"ד מז (1) 357, להלן "פס"ד פרץ בוני הנגב").</w:t>
      </w:r>
    </w:p>
    <w:p w:rsidR="00A57DDA" w:rsidRPr="00B41C2A" w:rsidRDefault="00A57DDA" w:rsidP="00A57DDA">
      <w:pPr>
        <w:spacing w:line="360" w:lineRule="auto"/>
        <w:ind w:left="1701" w:hanging="567"/>
        <w:rPr>
          <w:rFonts w:ascii="Arial" w:hAnsi="Arial"/>
          <w:b/>
          <w:bCs/>
          <w:i/>
          <w:iCs/>
          <w:noProof w:val="0"/>
          <w:rtl/>
        </w:rPr>
      </w:pPr>
    </w:p>
    <w:p w:rsidR="00A57DDA" w:rsidRPr="00B41C2A" w:rsidRDefault="00A57DDA" w:rsidP="00A57DDA">
      <w:pPr>
        <w:spacing w:line="360" w:lineRule="auto"/>
        <w:ind w:left="1701"/>
        <w:jc w:val="both"/>
        <w:rPr>
          <w:rFonts w:ascii="Arial" w:hAnsi="Arial"/>
          <w:b/>
          <w:bCs/>
          <w:i/>
          <w:iCs/>
          <w:noProof w:val="0"/>
          <w:rtl/>
        </w:rPr>
      </w:pPr>
      <w:r w:rsidRPr="00B41C2A">
        <w:rPr>
          <w:rFonts w:ascii="Arial" w:hAnsi="Arial"/>
          <w:b/>
          <w:bCs/>
          <w:i/>
          <w:iCs/>
          <w:noProof w:val="0"/>
          <w:u w:val="single"/>
          <w:rtl/>
        </w:rPr>
        <w:t>בה"פ (חי') 86/06</w:t>
      </w:r>
      <w:r w:rsidRPr="00B41C2A">
        <w:rPr>
          <w:rFonts w:ascii="Arial" w:hAnsi="Arial"/>
          <w:b/>
          <w:bCs/>
          <w:i/>
          <w:iCs/>
          <w:noProof w:val="0"/>
          <w:rtl/>
        </w:rPr>
        <w:t xml:space="preserve"> מוזר נ' לוי, ניתן ביום 11/11/07 (להלן- "פרשת מוזר נ' לוי"), סוכמה הסוגיה ע"י השופט גינת, בכותבו:</w:t>
      </w:r>
    </w:p>
    <w:p w:rsidR="00A57DDA" w:rsidRDefault="00A57DDA" w:rsidP="00A57DDA">
      <w:pPr>
        <w:spacing w:line="360" w:lineRule="auto"/>
        <w:ind w:left="1701" w:hanging="567"/>
        <w:jc w:val="both"/>
        <w:rPr>
          <w:rFonts w:ascii="Arial" w:hAnsi="Arial"/>
          <w:b/>
          <w:bCs/>
          <w:i/>
          <w:iCs/>
          <w:noProof w:val="0"/>
          <w:rtl/>
        </w:rPr>
      </w:pPr>
    </w:p>
    <w:p w:rsidR="00A57DDA" w:rsidRPr="00B41C2A" w:rsidRDefault="00A57DDA" w:rsidP="00A57DDA">
      <w:pPr>
        <w:spacing w:line="360" w:lineRule="auto"/>
        <w:ind w:left="1701"/>
        <w:jc w:val="both"/>
        <w:rPr>
          <w:rFonts w:ascii="Arial" w:hAnsi="Arial"/>
          <w:b/>
          <w:bCs/>
          <w:i/>
          <w:iCs/>
          <w:noProof w:val="0"/>
          <w:rtl/>
        </w:rPr>
      </w:pPr>
      <w:r w:rsidRPr="00B41C2A">
        <w:rPr>
          <w:rFonts w:ascii="Arial" w:hAnsi="Arial"/>
          <w:b/>
          <w:bCs/>
          <w:i/>
          <w:iCs/>
          <w:noProof w:val="0"/>
          <w:rtl/>
        </w:rPr>
        <w:t>"המבחן לקיום גמירת הדעת במקרה של ליקוי דעת הינו מבחן מקל, המסתפק בתיאור התוצאה החיצונית של ליקוי הדעת, הנסיבות והתנהגות הצדדים, המונעים אדם מלהכריע באופן סביר בדבר עריכת עסקה, מבלי לדרוש קביעה שיפוטית בדבר פעולתה המדויקת של המחלה בתודעתו של אדם" (פסקה 52</w:t>
      </w:r>
      <w:r>
        <w:rPr>
          <w:rFonts w:ascii="Arial" w:hAnsi="Arial" w:hint="cs"/>
          <w:b/>
          <w:bCs/>
          <w:i/>
          <w:iCs/>
          <w:noProof w:val="0"/>
          <w:rtl/>
        </w:rPr>
        <w:t xml:space="preserve"> </w:t>
      </w:r>
      <w:r w:rsidRPr="00B41C2A">
        <w:rPr>
          <w:rFonts w:ascii="Arial" w:hAnsi="Arial"/>
          <w:b/>
          <w:bCs/>
          <w:i/>
          <w:iCs/>
          <w:noProof w:val="0"/>
          <w:rtl/>
        </w:rPr>
        <w:t xml:space="preserve">לפסק הדין). </w:t>
      </w:r>
    </w:p>
    <w:p w:rsidR="00A57DDA" w:rsidRPr="00B41C2A" w:rsidRDefault="00A57DDA" w:rsidP="00A57DDA">
      <w:pPr>
        <w:spacing w:line="360" w:lineRule="auto"/>
        <w:ind w:left="1701"/>
        <w:jc w:val="both"/>
        <w:rPr>
          <w:rFonts w:ascii="Arial" w:hAnsi="Arial"/>
          <w:b/>
          <w:bCs/>
          <w:i/>
          <w:iCs/>
          <w:noProof w:val="0"/>
          <w:rtl/>
        </w:rPr>
      </w:pPr>
      <w:r w:rsidRPr="00B41C2A">
        <w:rPr>
          <w:rFonts w:ascii="Arial" w:hAnsi="Arial"/>
          <w:b/>
          <w:bCs/>
          <w:i/>
          <w:iCs/>
          <w:noProof w:val="0"/>
          <w:rtl/>
        </w:rPr>
        <w:t>(לעיון נוסף ראו י' אנגלרד ומ' בס "פעולותיו המשפטיות של לקוי דעת בטרם יוכרז כפסול דין" משפטים ט 335 (תשל"ח - תשל"ט) ; ד' חן "כשרות משפטית של הלוקה בדעתו" רפואה ומשפט, גיליון 12 אפריל – 1995)".</w:t>
      </w:r>
    </w:p>
    <w:p w:rsidR="00A57DDA" w:rsidRPr="00B41C2A" w:rsidRDefault="00A57DDA" w:rsidP="00A57DDA">
      <w:pPr>
        <w:spacing w:line="360" w:lineRule="auto"/>
        <w:ind w:left="1701" w:hanging="567"/>
        <w:rPr>
          <w:rFonts w:ascii="Arial" w:hAnsi="Arial"/>
          <w:b/>
          <w:bCs/>
          <w:i/>
          <w:iCs/>
          <w:noProof w:val="0"/>
          <w:rtl/>
        </w:rPr>
      </w:pPr>
    </w:p>
    <w:p w:rsidR="00A57DDA" w:rsidRPr="00B41C2A" w:rsidRDefault="00A57DDA" w:rsidP="00A57DDA">
      <w:pPr>
        <w:spacing w:line="360" w:lineRule="auto"/>
        <w:ind w:left="2160" w:hanging="459"/>
        <w:jc w:val="both"/>
        <w:rPr>
          <w:rFonts w:ascii="Arial" w:hAnsi="Arial"/>
          <w:b/>
          <w:bCs/>
          <w:i/>
          <w:iCs/>
          <w:noProof w:val="0"/>
          <w:rtl/>
        </w:rPr>
      </w:pPr>
      <w:r w:rsidRPr="00B41C2A">
        <w:rPr>
          <w:rFonts w:ascii="Arial" w:hAnsi="Arial"/>
          <w:b/>
          <w:bCs/>
          <w:i/>
          <w:iCs/>
          <w:noProof w:val="0"/>
          <w:rtl/>
        </w:rPr>
        <w:t>55.</w:t>
      </w:r>
      <w:r w:rsidRPr="00B41C2A">
        <w:rPr>
          <w:rFonts w:ascii="Arial" w:hAnsi="Arial"/>
          <w:b/>
          <w:bCs/>
          <w:i/>
          <w:iCs/>
          <w:noProof w:val="0"/>
          <w:rtl/>
        </w:rPr>
        <w:tab/>
        <w:t>הנשיא (דאז) שמגר הבהיר בפס"ד פרץ בוני הנגב, כי על מנת לבדוק את גמירת הדעת של צד לחוזה, יש לבחון גם את מודעותו של הצד השני למצבו של המתקשר:</w:t>
      </w:r>
    </w:p>
    <w:p w:rsidR="00A57DDA" w:rsidRDefault="00A57DDA" w:rsidP="00A57DDA">
      <w:pPr>
        <w:spacing w:line="360" w:lineRule="auto"/>
        <w:ind w:left="1701"/>
        <w:jc w:val="both"/>
        <w:rPr>
          <w:rFonts w:ascii="Arial" w:hAnsi="Arial"/>
          <w:b/>
          <w:bCs/>
          <w:i/>
          <w:iCs/>
          <w:noProof w:val="0"/>
          <w:rtl/>
        </w:rPr>
      </w:pPr>
    </w:p>
    <w:p w:rsidR="00A57DDA" w:rsidRPr="00B41C2A" w:rsidRDefault="00A57DDA" w:rsidP="00A57DDA">
      <w:pPr>
        <w:spacing w:line="360" w:lineRule="auto"/>
        <w:ind w:left="2619"/>
        <w:jc w:val="both"/>
        <w:rPr>
          <w:rFonts w:ascii="Arial" w:hAnsi="Arial"/>
          <w:b/>
          <w:bCs/>
          <w:i/>
          <w:iCs/>
          <w:noProof w:val="0"/>
          <w:rtl/>
        </w:rPr>
      </w:pPr>
      <w:r w:rsidRPr="00B41C2A">
        <w:rPr>
          <w:rFonts w:ascii="Arial" w:hAnsi="Arial"/>
          <w:b/>
          <w:bCs/>
          <w:i/>
          <w:iCs/>
          <w:noProof w:val="0"/>
          <w:rtl/>
        </w:rPr>
        <w:t xml:space="preserve">"אין ספק כי מתקשר סביר במעמדה של המערערת לא היה מניח, כי המשיב גמר בדעתו לכרות חוזה. נציג המערערת צריך היה לדעת, כי אין ביכולתו של המשיב להבין משמעותה של החתימה, לא כל שכן לגבש גמירת דעת לעניין מכירת הדירה. לפיכך אין גם כל מקום להסתמך על קיומה של החתימה בהקשר זה. חתימה זו יכולה אולי </w:t>
      </w:r>
      <w:r w:rsidRPr="00B41C2A">
        <w:rPr>
          <w:rFonts w:ascii="Arial" w:hAnsi="Arial"/>
          <w:b/>
          <w:bCs/>
          <w:i/>
          <w:iCs/>
          <w:noProof w:val="0"/>
          <w:rtl/>
        </w:rPr>
        <w:lastRenderedPageBreak/>
        <w:t>ליצור מראית של גמירת-דעת בעיניו של זר המשקיף מהצד, אך לא בעיניו של המתקשר הספציפי".</w:t>
      </w:r>
    </w:p>
    <w:p w:rsidR="00A57DDA" w:rsidRPr="00B41C2A" w:rsidRDefault="00A57DDA" w:rsidP="00A57DDA">
      <w:pPr>
        <w:spacing w:line="360" w:lineRule="auto"/>
        <w:ind w:left="1701" w:hanging="567"/>
        <w:rPr>
          <w:rFonts w:ascii="Arial" w:hAnsi="Arial"/>
          <w:b/>
          <w:bCs/>
          <w:i/>
          <w:iCs/>
          <w:noProof w:val="0"/>
          <w:rtl/>
        </w:rPr>
      </w:pPr>
    </w:p>
    <w:p w:rsidR="00A57DDA" w:rsidRPr="00B41C2A" w:rsidRDefault="00A57DDA" w:rsidP="00A57DDA">
      <w:pPr>
        <w:spacing w:line="360" w:lineRule="auto"/>
        <w:ind w:left="2126" w:hanging="425"/>
        <w:jc w:val="both"/>
        <w:rPr>
          <w:rFonts w:ascii="Arial" w:hAnsi="Arial"/>
          <w:b/>
          <w:bCs/>
          <w:i/>
          <w:iCs/>
          <w:noProof w:val="0"/>
          <w:rtl/>
        </w:rPr>
      </w:pPr>
      <w:r w:rsidRPr="00B41C2A">
        <w:rPr>
          <w:rFonts w:ascii="Arial" w:hAnsi="Arial"/>
          <w:b/>
          <w:bCs/>
          <w:i/>
          <w:iCs/>
          <w:noProof w:val="0"/>
          <w:rtl/>
        </w:rPr>
        <w:t xml:space="preserve">56. </w:t>
      </w:r>
      <w:r>
        <w:rPr>
          <w:rFonts w:ascii="Arial" w:hAnsi="Arial"/>
          <w:b/>
          <w:bCs/>
          <w:i/>
          <w:iCs/>
          <w:noProof w:val="0"/>
          <w:rtl/>
        </w:rPr>
        <w:tab/>
      </w:r>
      <w:r w:rsidRPr="00B41C2A">
        <w:rPr>
          <w:rFonts w:ascii="Arial" w:hAnsi="Arial"/>
          <w:b/>
          <w:bCs/>
          <w:i/>
          <w:iCs/>
          <w:noProof w:val="0"/>
          <w:rtl/>
        </w:rPr>
        <w:t xml:space="preserve">המימד האובייקטיבי המיוחס למבחן גמירות הדעת, בא בין היתר להגן על אינטרס ההסתמכות של הצד השני. אינטרס הסתמכות זה לא התקיים אצל הנתבע, בנסיבות שתוארו. בעניין זה נכתב בספרם של פרידמן וכהן: </w:t>
      </w:r>
    </w:p>
    <w:p w:rsidR="00A57DDA" w:rsidRPr="004C175C" w:rsidRDefault="00A57DDA" w:rsidP="00A57DDA">
      <w:pPr>
        <w:spacing w:line="360" w:lineRule="auto"/>
        <w:ind w:left="1701" w:hanging="567"/>
        <w:jc w:val="both"/>
        <w:rPr>
          <w:rFonts w:ascii="Arial" w:hAnsi="Arial"/>
          <w:b/>
          <w:bCs/>
          <w:i/>
          <w:iCs/>
          <w:noProof w:val="0"/>
          <w:sz w:val="16"/>
          <w:szCs w:val="16"/>
          <w:rtl/>
        </w:rPr>
      </w:pPr>
    </w:p>
    <w:p w:rsidR="00A57DDA" w:rsidRPr="00B41C2A" w:rsidRDefault="00A57DDA" w:rsidP="00A57DDA">
      <w:pPr>
        <w:spacing w:line="360" w:lineRule="auto"/>
        <w:ind w:left="2585"/>
        <w:jc w:val="both"/>
        <w:rPr>
          <w:rFonts w:ascii="Arial" w:hAnsi="Arial"/>
          <w:b/>
          <w:bCs/>
          <w:i/>
          <w:iCs/>
          <w:noProof w:val="0"/>
          <w:rtl/>
        </w:rPr>
      </w:pPr>
      <w:r w:rsidRPr="00B41C2A">
        <w:rPr>
          <w:rFonts w:ascii="Arial" w:hAnsi="Arial"/>
          <w:b/>
          <w:bCs/>
          <w:i/>
          <w:iCs/>
          <w:noProof w:val="0"/>
          <w:rtl/>
        </w:rPr>
        <w:t xml:space="preserve">"הכלל הוא כי מתקשר החותם על החוזה או מקבלו בצורה אחרת, מביע הסכמה לתניותיו, הוא יוצר מצג של הסכמה, שעליו רשאי להסתמך הצד האחר. הסטיה  מהחזקה ש'חתימה שווה הסכמה' תיעשה רק במקרים, שבהם הצד האחר אשם, במידה זו או אחרת, בכך שביטויה החיצוני של ההסכמה שונה מכוונתו של המתקשר האחר, שכן במקרה זה אין הוא מסתמך על מצג ההסכמה החיצוני. </w:t>
      </w:r>
    </w:p>
    <w:p w:rsidR="00A57DDA" w:rsidRPr="00B41C2A" w:rsidRDefault="00A57DDA" w:rsidP="00A57DDA">
      <w:pPr>
        <w:spacing w:line="360" w:lineRule="auto"/>
        <w:ind w:left="2585" w:firstLine="34"/>
        <w:jc w:val="both"/>
        <w:rPr>
          <w:rFonts w:ascii="Arial" w:hAnsi="Arial"/>
          <w:b/>
          <w:bCs/>
          <w:i/>
          <w:iCs/>
          <w:noProof w:val="0"/>
          <w:rtl/>
        </w:rPr>
      </w:pPr>
      <w:r w:rsidRPr="00B41C2A">
        <w:rPr>
          <w:rFonts w:ascii="Arial" w:hAnsi="Arial"/>
          <w:b/>
          <w:bCs/>
          <w:i/>
          <w:iCs/>
          <w:noProof w:val="0"/>
          <w:rtl/>
        </w:rPr>
        <w:t>במקרה זה עשויים בתי המשפט להתעלם מאשמתו של המתקשר הרשלן, שלא קרא את החוזה, ולסטות מהמבחן האובייקטיבי" (כרך א' עמ' 168-169).</w:t>
      </w:r>
    </w:p>
    <w:p w:rsidR="00A57DDA" w:rsidRPr="00B41C2A" w:rsidRDefault="00A57DDA" w:rsidP="00A57DDA">
      <w:pPr>
        <w:spacing w:line="360" w:lineRule="auto"/>
        <w:ind w:left="1701" w:hanging="567"/>
        <w:jc w:val="center"/>
        <w:rPr>
          <w:rFonts w:ascii="Arial" w:hAnsi="Arial"/>
          <w:b/>
          <w:bCs/>
          <w:i/>
          <w:iCs/>
          <w:noProof w:val="0"/>
          <w:rtl/>
        </w:rPr>
      </w:pPr>
      <w:r w:rsidRPr="00B41C2A">
        <w:rPr>
          <w:rFonts w:ascii="Arial" w:hAnsi="Arial"/>
          <w:b/>
          <w:bCs/>
          <w:i/>
          <w:iCs/>
          <w:noProof w:val="0"/>
          <w:rtl/>
        </w:rPr>
        <w:t>...</w:t>
      </w:r>
    </w:p>
    <w:p w:rsidR="00A57DDA" w:rsidRPr="00B41C2A" w:rsidRDefault="00A57DDA" w:rsidP="00A57DDA">
      <w:pPr>
        <w:spacing w:line="360" w:lineRule="auto"/>
        <w:ind w:left="2619"/>
        <w:jc w:val="both"/>
        <w:rPr>
          <w:rFonts w:ascii="Arial" w:hAnsi="Arial"/>
          <w:b/>
          <w:bCs/>
          <w:i/>
          <w:iCs/>
          <w:noProof w:val="0"/>
          <w:rtl/>
        </w:rPr>
      </w:pPr>
      <w:r w:rsidRPr="00B41C2A">
        <w:rPr>
          <w:rFonts w:ascii="Arial" w:hAnsi="Arial"/>
          <w:b/>
          <w:bCs/>
          <w:i/>
          <w:iCs/>
          <w:noProof w:val="0"/>
          <w:rtl/>
        </w:rPr>
        <w:t>בהסכמי מתנה, הבדיקה אם היתה גמירות דעת היא קפדנית יותר, וזאת בייחוד כשמדובר במתנה במקרקעין (ע"א 7051/93 האפוטרופוס הכללי ני גולדברג (לא פורסם)).</w:t>
      </w:r>
    </w:p>
    <w:p w:rsidR="00A57DDA" w:rsidRDefault="00A57DDA" w:rsidP="00A57DDA">
      <w:pPr>
        <w:spacing w:line="360" w:lineRule="auto"/>
        <w:ind w:left="2619"/>
        <w:jc w:val="both"/>
        <w:rPr>
          <w:rFonts w:ascii="Arial" w:hAnsi="Arial"/>
          <w:b/>
          <w:bCs/>
          <w:i/>
          <w:iCs/>
          <w:noProof w:val="0"/>
          <w:rtl/>
        </w:rPr>
      </w:pPr>
      <w:r w:rsidRPr="00B41C2A">
        <w:rPr>
          <w:rFonts w:ascii="Arial" w:hAnsi="Arial"/>
          <w:b/>
          <w:bCs/>
          <w:i/>
          <w:iCs/>
          <w:noProof w:val="0"/>
          <w:u w:val="single"/>
          <w:rtl/>
        </w:rPr>
        <w:t>בע"א 236/84</w:t>
      </w:r>
      <w:r w:rsidRPr="00B41C2A">
        <w:rPr>
          <w:rFonts w:ascii="Arial" w:hAnsi="Arial"/>
          <w:b/>
          <w:bCs/>
          <w:i/>
          <w:iCs/>
          <w:noProof w:val="0"/>
          <w:rtl/>
        </w:rPr>
        <w:t xml:space="preserve"> מנהל עזבון המנוחה הלה יפה ז"ל נ' שוורץ, פ"ד מה(5) 13 (להלן – </w:t>
      </w:r>
      <w:r w:rsidRPr="00B41C2A">
        <w:rPr>
          <w:rFonts w:ascii="Arial" w:hAnsi="Arial"/>
          <w:b/>
          <w:bCs/>
          <w:i/>
          <w:iCs/>
          <w:noProof w:val="0"/>
          <w:u w:val="single"/>
          <w:rtl/>
        </w:rPr>
        <w:t>"ע"א 236/84")</w:t>
      </w:r>
      <w:r w:rsidRPr="00B41C2A">
        <w:rPr>
          <w:rFonts w:ascii="Arial" w:hAnsi="Arial"/>
          <w:b/>
          <w:bCs/>
          <w:i/>
          <w:iCs/>
          <w:noProof w:val="0"/>
          <w:rtl/>
        </w:rPr>
        <w:t>, נכתב:</w:t>
      </w:r>
    </w:p>
    <w:p w:rsidR="00A57DDA" w:rsidRDefault="00A57DDA" w:rsidP="00A57DDA">
      <w:pPr>
        <w:spacing w:line="360" w:lineRule="auto"/>
        <w:ind w:left="2880" w:firstLine="261"/>
        <w:jc w:val="both"/>
        <w:rPr>
          <w:rFonts w:ascii="Arial" w:hAnsi="Arial"/>
          <w:b/>
          <w:bCs/>
          <w:i/>
          <w:iCs/>
          <w:noProof w:val="0"/>
          <w:u w:val="single"/>
          <w:rtl/>
        </w:rPr>
      </w:pPr>
    </w:p>
    <w:p w:rsidR="00A57DDA" w:rsidRPr="00B41C2A" w:rsidRDefault="00A57DDA" w:rsidP="00A57DDA">
      <w:pPr>
        <w:spacing w:line="360" w:lineRule="auto"/>
        <w:ind w:left="3141"/>
        <w:jc w:val="both"/>
        <w:rPr>
          <w:rFonts w:ascii="Arial" w:hAnsi="Arial"/>
          <w:b/>
          <w:bCs/>
          <w:i/>
          <w:iCs/>
          <w:noProof w:val="0"/>
          <w:rtl/>
        </w:rPr>
      </w:pPr>
      <w:r w:rsidRPr="00B41C2A">
        <w:rPr>
          <w:rFonts w:ascii="Arial" w:hAnsi="Arial"/>
          <w:b/>
          <w:bCs/>
          <w:i/>
          <w:iCs/>
          <w:noProof w:val="0"/>
          <w:rtl/>
        </w:rPr>
        <w:t xml:space="preserve">"...יש להתייחס למאפיין הרלוואנטי של הנספח, לאמור - העובדה שהוא מגלם הענקה חד צדדית של טובת הנאה. לכך יש חשיבות רבה, שכן בהענקה ממין זה, כמו בהענקה דומה בחוזה מתנה, '... יש משנה חשיבות לגמירת דעתו של נותן המתנה... יש לוודא מעל ומעבר ולכל ספק כי נותן המתנה אכן התכוון לתת מתנה וכי אין ליקוי רצון הפוגע בגמירת דעתו של הנותן' (א' ראבילו, </w:t>
      </w:r>
      <w:r w:rsidRPr="00B41C2A">
        <w:rPr>
          <w:rFonts w:ascii="Arial" w:hAnsi="Arial"/>
          <w:b/>
          <w:bCs/>
          <w:i/>
          <w:iCs/>
          <w:noProof w:val="0"/>
          <w:u w:val="single"/>
          <w:rtl/>
        </w:rPr>
        <w:t xml:space="preserve">"חוק המתנה, תשכ"ח – </w:t>
      </w:r>
      <w:r w:rsidRPr="00B41C2A">
        <w:rPr>
          <w:rFonts w:ascii="Arial" w:hAnsi="Arial"/>
          <w:b/>
          <w:bCs/>
          <w:i/>
          <w:iCs/>
          <w:noProof w:val="0"/>
          <w:rtl/>
        </w:rPr>
        <w:t>1968' פירוש לחוקי החוזים (המכון למחקרי חקיקה ולמשפט השוואתי ע"ש הרי סאקר, ג' טדסקי עורך, תשל"ט) 21)".</w:t>
      </w:r>
      <w:r w:rsidRPr="00B41C2A">
        <w:rPr>
          <w:rFonts w:ascii="Arial" w:hAnsi="Arial" w:hint="cs"/>
          <w:b/>
          <w:bCs/>
          <w:i/>
          <w:iCs/>
          <w:noProof w:val="0"/>
          <w:rtl/>
        </w:rPr>
        <w:t>"</w:t>
      </w:r>
    </w:p>
    <w:p w:rsidR="00A57DDA" w:rsidRPr="00DA28BC" w:rsidRDefault="00A57DDA" w:rsidP="00A57DDA">
      <w:pPr>
        <w:pStyle w:val="af1"/>
        <w:spacing w:line="360" w:lineRule="auto"/>
        <w:ind w:left="360"/>
        <w:jc w:val="both"/>
        <w:rPr>
          <w:rFonts w:ascii="Arial" w:hAnsi="Arial"/>
          <w:noProof w:val="0"/>
          <w:rtl/>
        </w:rPr>
      </w:pPr>
    </w:p>
    <w:p w:rsidR="00A57DDA" w:rsidRPr="00784DCA" w:rsidRDefault="00A57DDA" w:rsidP="00A57DDA">
      <w:pPr>
        <w:pStyle w:val="af1"/>
        <w:spacing w:line="360" w:lineRule="auto"/>
        <w:ind w:left="2160"/>
        <w:jc w:val="both"/>
        <w:rPr>
          <w:rFonts w:ascii="Arial" w:hAnsi="Arial"/>
          <w:b/>
          <w:bCs/>
          <w:i/>
          <w:iCs/>
          <w:noProof w:val="0"/>
        </w:rPr>
      </w:pPr>
      <w:r w:rsidRPr="00784DCA">
        <w:rPr>
          <w:rFonts w:ascii="Arial" w:hAnsi="Arial"/>
          <w:b/>
          <w:bCs/>
          <w:i/>
          <w:iCs/>
          <w:noProof w:val="0"/>
          <w:rtl/>
        </w:rPr>
        <w:lastRenderedPageBreak/>
        <w:t xml:space="preserve">את </w:t>
      </w:r>
      <w:r w:rsidRPr="00784DCA">
        <w:rPr>
          <w:rFonts w:ascii="Arial" w:hAnsi="Arial" w:hint="cs"/>
          <w:b/>
          <w:bCs/>
          <w:i/>
          <w:iCs/>
          <w:noProof w:val="0"/>
          <w:rtl/>
        </w:rPr>
        <w:t>ה</w:t>
      </w:r>
      <w:r w:rsidRPr="00784DCA">
        <w:rPr>
          <w:rFonts w:ascii="Arial" w:hAnsi="Arial"/>
          <w:b/>
          <w:bCs/>
          <w:i/>
          <w:iCs/>
          <w:noProof w:val="0"/>
          <w:rtl/>
        </w:rPr>
        <w:t>יכולת ל</w:t>
      </w:r>
      <w:r w:rsidRPr="00784DCA">
        <w:rPr>
          <w:rFonts w:ascii="Arial" w:hAnsi="Arial" w:hint="cs"/>
          <w:b/>
          <w:bCs/>
          <w:i/>
          <w:iCs/>
          <w:noProof w:val="0"/>
          <w:rtl/>
        </w:rPr>
        <w:t xml:space="preserve">יתן </w:t>
      </w:r>
      <w:r w:rsidRPr="00784DCA">
        <w:rPr>
          <w:rFonts w:ascii="Arial" w:hAnsi="Arial"/>
          <w:b/>
          <w:bCs/>
          <w:i/>
          <w:iCs/>
          <w:noProof w:val="0"/>
          <w:rtl/>
        </w:rPr>
        <w:t xml:space="preserve">מתנות יש לבחון, אם כן, </w:t>
      </w:r>
      <w:r w:rsidRPr="00784DCA">
        <w:rPr>
          <w:rFonts w:ascii="Arial" w:hAnsi="Arial" w:hint="cs"/>
          <w:b/>
          <w:bCs/>
          <w:i/>
          <w:iCs/>
          <w:noProof w:val="0"/>
          <w:rtl/>
        </w:rPr>
        <w:t xml:space="preserve">גם </w:t>
      </w:r>
      <w:r w:rsidRPr="00784DCA">
        <w:rPr>
          <w:rFonts w:ascii="Arial" w:hAnsi="Arial"/>
          <w:b/>
          <w:bCs/>
          <w:i/>
          <w:iCs/>
          <w:noProof w:val="0"/>
          <w:rtl/>
        </w:rPr>
        <w:t>לפי דיני החוזים</w:t>
      </w:r>
      <w:r w:rsidRPr="00784DCA">
        <w:rPr>
          <w:rFonts w:ascii="Arial" w:hAnsi="Arial" w:hint="cs"/>
          <w:b/>
          <w:bCs/>
          <w:i/>
          <w:iCs/>
          <w:noProof w:val="0"/>
          <w:rtl/>
        </w:rPr>
        <w:t>,</w:t>
      </w:r>
      <w:r w:rsidRPr="00784DCA">
        <w:rPr>
          <w:rFonts w:ascii="Arial" w:hAnsi="Arial"/>
          <w:b/>
          <w:bCs/>
          <w:i/>
          <w:iCs/>
          <w:noProof w:val="0"/>
          <w:rtl/>
        </w:rPr>
        <w:t xml:space="preserve"> </w:t>
      </w:r>
      <w:r w:rsidRPr="00784DCA">
        <w:rPr>
          <w:rFonts w:ascii="Arial" w:hAnsi="Arial" w:hint="cs"/>
          <w:b/>
          <w:bCs/>
          <w:i/>
          <w:iCs/>
          <w:noProof w:val="0"/>
          <w:rtl/>
        </w:rPr>
        <w:t>ו</w:t>
      </w:r>
      <w:r w:rsidRPr="00784DCA">
        <w:rPr>
          <w:rFonts w:ascii="Arial" w:hAnsi="Arial"/>
          <w:b/>
          <w:bCs/>
          <w:i/>
          <w:iCs/>
          <w:noProof w:val="0"/>
          <w:rtl/>
        </w:rPr>
        <w:t>יש לבחון</w:t>
      </w:r>
      <w:r w:rsidRPr="00784DCA">
        <w:rPr>
          <w:rFonts w:ascii="Arial" w:hAnsi="Arial" w:hint="cs"/>
          <w:b/>
          <w:bCs/>
          <w:i/>
          <w:iCs/>
          <w:noProof w:val="0"/>
          <w:rtl/>
        </w:rPr>
        <w:t xml:space="preserve"> גם ל</w:t>
      </w:r>
      <w:r w:rsidRPr="00784DCA">
        <w:rPr>
          <w:rFonts w:ascii="Arial" w:hAnsi="Arial"/>
          <w:b/>
          <w:bCs/>
          <w:i/>
          <w:iCs/>
          <w:noProof w:val="0"/>
          <w:rtl/>
        </w:rPr>
        <w:t>פי דיני גמירות הדעת. אולם</w:t>
      </w:r>
      <w:r w:rsidRPr="00784DCA">
        <w:rPr>
          <w:rFonts w:ascii="Arial" w:hAnsi="Arial" w:hint="cs"/>
          <w:b/>
          <w:bCs/>
          <w:i/>
          <w:iCs/>
          <w:noProof w:val="0"/>
          <w:rtl/>
        </w:rPr>
        <w:t>,</w:t>
      </w:r>
      <w:r w:rsidRPr="00784DCA">
        <w:rPr>
          <w:rFonts w:ascii="Arial" w:hAnsi="Arial"/>
          <w:b/>
          <w:bCs/>
          <w:i/>
          <w:iCs/>
          <w:noProof w:val="0"/>
          <w:rtl/>
        </w:rPr>
        <w:t xml:space="preserve"> במקרים קיצוניים ניתן לומר כי החוזה כלל לא נכרת. </w:t>
      </w:r>
    </w:p>
    <w:p w:rsidR="00A57DDA" w:rsidRPr="00784DCA" w:rsidRDefault="00A57DDA" w:rsidP="00A57DDA">
      <w:pPr>
        <w:pStyle w:val="af1"/>
        <w:spacing w:line="360" w:lineRule="auto"/>
        <w:ind w:left="1440" w:firstLine="720"/>
        <w:jc w:val="both"/>
        <w:rPr>
          <w:rFonts w:ascii="Arial" w:hAnsi="Arial"/>
          <w:b/>
          <w:bCs/>
          <w:i/>
          <w:iCs/>
          <w:noProof w:val="0"/>
        </w:rPr>
      </w:pPr>
      <w:r w:rsidRPr="00784DCA">
        <w:rPr>
          <w:rFonts w:ascii="Arial" w:hAnsi="Arial"/>
          <w:b/>
          <w:bCs/>
          <w:i/>
          <w:iCs/>
          <w:noProof w:val="0"/>
          <w:rtl/>
        </w:rPr>
        <w:t>אומרים על כך המלומדים פרידמן וכהן</w:t>
      </w:r>
      <w:r w:rsidRPr="00784DCA">
        <w:rPr>
          <w:rFonts w:ascii="Arial" w:hAnsi="Arial" w:hint="cs"/>
          <w:b/>
          <w:bCs/>
          <w:i/>
          <w:iCs/>
          <w:noProof w:val="0"/>
          <w:rtl/>
        </w:rPr>
        <w:t>,</w:t>
      </w:r>
      <w:r w:rsidRPr="00784DCA">
        <w:rPr>
          <w:rFonts w:ascii="Arial" w:hAnsi="Arial"/>
          <w:b/>
          <w:bCs/>
          <w:i/>
          <w:iCs/>
          <w:noProof w:val="0"/>
          <w:rtl/>
        </w:rPr>
        <w:t xml:space="preserve"> "חוזים"</w:t>
      </w:r>
      <w:r w:rsidRPr="00784DCA">
        <w:rPr>
          <w:rFonts w:ascii="Arial" w:hAnsi="Arial" w:hint="cs"/>
          <w:b/>
          <w:bCs/>
          <w:i/>
          <w:iCs/>
          <w:noProof w:val="0"/>
          <w:rtl/>
        </w:rPr>
        <w:t>,</w:t>
      </w:r>
      <w:r w:rsidRPr="00784DCA">
        <w:rPr>
          <w:rFonts w:ascii="Arial" w:hAnsi="Arial"/>
          <w:b/>
          <w:bCs/>
          <w:i/>
          <w:iCs/>
          <w:noProof w:val="0"/>
          <w:rtl/>
        </w:rPr>
        <w:t xml:space="preserve"> עמ' 1015</w:t>
      </w:r>
      <w:r w:rsidRPr="00784DCA">
        <w:rPr>
          <w:rFonts w:ascii="Arial" w:hAnsi="Arial" w:hint="cs"/>
          <w:b/>
          <w:bCs/>
          <w:i/>
          <w:iCs/>
          <w:noProof w:val="0"/>
          <w:rtl/>
        </w:rPr>
        <w:t>, כך</w:t>
      </w:r>
      <w:r w:rsidRPr="00784DCA">
        <w:rPr>
          <w:rFonts w:ascii="Arial" w:hAnsi="Arial"/>
          <w:b/>
          <w:bCs/>
          <w:i/>
          <w:iCs/>
          <w:noProof w:val="0"/>
          <w:rtl/>
        </w:rPr>
        <w:t>:</w:t>
      </w:r>
    </w:p>
    <w:p w:rsidR="00A57DDA" w:rsidRPr="00FE3C28" w:rsidRDefault="00A57DDA" w:rsidP="00A57DDA">
      <w:pPr>
        <w:spacing w:line="360" w:lineRule="auto"/>
        <w:ind w:right="1701"/>
        <w:jc w:val="both"/>
        <w:rPr>
          <w:rFonts w:ascii="Arial" w:hAnsi="Arial"/>
          <w:b/>
          <w:bCs/>
          <w:noProof w:val="0"/>
          <w:sz w:val="18"/>
          <w:szCs w:val="18"/>
          <w:rtl/>
        </w:rPr>
      </w:pPr>
    </w:p>
    <w:p w:rsidR="00A57DDA" w:rsidRPr="00FE3C28" w:rsidRDefault="00A57DDA" w:rsidP="00A57DDA">
      <w:pPr>
        <w:spacing w:line="360" w:lineRule="auto"/>
        <w:ind w:left="2160"/>
        <w:jc w:val="both"/>
        <w:rPr>
          <w:rFonts w:ascii="Arial" w:hAnsi="Arial"/>
          <w:b/>
          <w:bCs/>
          <w:i/>
          <w:iCs/>
          <w:noProof w:val="0"/>
          <w:rtl/>
        </w:rPr>
      </w:pPr>
      <w:r w:rsidRPr="00FE3C28">
        <w:rPr>
          <w:rFonts w:ascii="Arial" w:hAnsi="Arial"/>
          <w:b/>
          <w:bCs/>
          <w:i/>
          <w:iCs/>
          <w:noProof w:val="0"/>
          <w:rtl/>
        </w:rPr>
        <w:t>"במקרים קיצוניים של אובדן כושר ההבנה והשיפוט, עשוי החוזה להיות בטל לחלוטין, ומנקודת ראותו של אותו אדם 'לא נעשה דבר'.</w:t>
      </w:r>
    </w:p>
    <w:p w:rsidR="00A57DDA" w:rsidRPr="00696A13" w:rsidRDefault="00A57DDA" w:rsidP="00A57DDA">
      <w:pPr>
        <w:spacing w:line="360" w:lineRule="auto"/>
        <w:ind w:left="1440" w:firstLine="720"/>
        <w:jc w:val="both"/>
        <w:rPr>
          <w:rFonts w:ascii="Arial" w:hAnsi="Arial"/>
          <w:b/>
          <w:bCs/>
          <w:i/>
          <w:iCs/>
          <w:noProof w:val="0"/>
          <w:rtl/>
        </w:rPr>
      </w:pPr>
      <w:r w:rsidRPr="00696A13">
        <w:rPr>
          <w:rFonts w:ascii="Arial" w:hAnsi="Arial"/>
          <w:b/>
          <w:bCs/>
          <w:i/>
          <w:iCs/>
          <w:noProof w:val="0"/>
          <w:rtl/>
        </w:rPr>
        <w:t>הוכחת גמירות הדעת בהסכמי מתנה – רמה גבוהה של הוכחה:</w:t>
      </w:r>
    </w:p>
    <w:p w:rsidR="00A57DDA" w:rsidRPr="00696A13" w:rsidRDefault="00A57DDA" w:rsidP="00A57DDA">
      <w:pPr>
        <w:spacing w:line="360" w:lineRule="auto"/>
        <w:ind w:left="2160"/>
        <w:jc w:val="both"/>
        <w:rPr>
          <w:rFonts w:ascii="Arial" w:hAnsi="Arial"/>
          <w:b/>
          <w:bCs/>
          <w:i/>
          <w:iCs/>
          <w:noProof w:val="0"/>
          <w:rtl/>
        </w:rPr>
      </w:pPr>
      <w:r w:rsidRPr="00696A13">
        <w:rPr>
          <w:rFonts w:ascii="Arial" w:hAnsi="Arial" w:hint="cs"/>
          <w:b/>
          <w:bCs/>
          <w:i/>
          <w:iCs/>
          <w:noProof w:val="0"/>
          <w:rtl/>
        </w:rPr>
        <w:t xml:space="preserve">52.1 </w:t>
      </w:r>
      <w:r w:rsidRPr="00696A13">
        <w:rPr>
          <w:rFonts w:ascii="Arial" w:hAnsi="Arial"/>
          <w:b/>
          <w:bCs/>
          <w:i/>
          <w:iCs/>
          <w:noProof w:val="0"/>
          <w:rtl/>
        </w:rPr>
        <w:t>ראשית, יש לומר כי בכל הקשור להסכמי מתנה נדרשת רמה גבוהה ומוקפדת יותר של הוכחת גמירות הדעת של נותן המתנה.</w:t>
      </w:r>
    </w:p>
    <w:p w:rsidR="00A57DDA" w:rsidRPr="00696A13" w:rsidRDefault="00A57DDA" w:rsidP="00A57DDA">
      <w:pPr>
        <w:spacing w:line="360" w:lineRule="auto"/>
        <w:ind w:left="2160"/>
        <w:jc w:val="both"/>
        <w:rPr>
          <w:rFonts w:ascii="Arial" w:hAnsi="Arial"/>
          <w:b/>
          <w:bCs/>
          <w:i/>
          <w:iCs/>
          <w:noProof w:val="0"/>
          <w:rtl/>
        </w:rPr>
      </w:pPr>
      <w:r w:rsidRPr="00696A13">
        <w:rPr>
          <w:rFonts w:ascii="Arial" w:hAnsi="Arial" w:hint="cs"/>
          <w:b/>
          <w:bCs/>
          <w:i/>
          <w:iCs/>
          <w:noProof w:val="0"/>
          <w:rtl/>
        </w:rPr>
        <w:t xml:space="preserve">52.2 </w:t>
      </w:r>
      <w:r w:rsidRPr="00696A13">
        <w:rPr>
          <w:rFonts w:ascii="Arial" w:hAnsi="Arial"/>
          <w:b/>
          <w:bCs/>
          <w:i/>
          <w:iCs/>
          <w:noProof w:val="0"/>
          <w:rtl/>
        </w:rPr>
        <w:t xml:space="preserve">על הוכחת גמירות הדעת בהסכמי מתנה אומר </w:t>
      </w:r>
      <w:r w:rsidRPr="00696A13">
        <w:rPr>
          <w:rFonts w:ascii="Arial" w:hAnsi="Arial" w:hint="cs"/>
          <w:b/>
          <w:bCs/>
          <w:i/>
          <w:iCs/>
          <w:noProof w:val="0"/>
          <w:rtl/>
        </w:rPr>
        <w:t>בית המשפט</w:t>
      </w:r>
      <w:r w:rsidRPr="00696A13">
        <w:rPr>
          <w:rFonts w:ascii="Arial" w:hAnsi="Arial"/>
          <w:b/>
          <w:bCs/>
          <w:i/>
          <w:iCs/>
          <w:noProof w:val="0"/>
          <w:rtl/>
        </w:rPr>
        <w:t xml:space="preserve"> כדלקמן:</w:t>
      </w:r>
    </w:p>
    <w:p w:rsidR="00A57DDA" w:rsidRPr="004C3650" w:rsidRDefault="00A57DDA" w:rsidP="00A57DDA">
      <w:pPr>
        <w:spacing w:line="360" w:lineRule="auto"/>
        <w:ind w:left="992" w:right="851" w:hanging="567"/>
        <w:jc w:val="both"/>
        <w:rPr>
          <w:rFonts w:ascii="Arial" w:hAnsi="Arial"/>
          <w:noProof w:val="0"/>
          <w:rtl/>
        </w:rPr>
      </w:pPr>
    </w:p>
    <w:p w:rsidR="00A57DDA" w:rsidRDefault="00A57DDA" w:rsidP="00A57DDA">
      <w:pPr>
        <w:spacing w:line="360" w:lineRule="auto"/>
        <w:ind w:left="2160"/>
        <w:jc w:val="both"/>
        <w:rPr>
          <w:rFonts w:ascii="Arial" w:hAnsi="Arial"/>
          <w:b/>
          <w:bCs/>
          <w:i/>
          <w:iCs/>
          <w:noProof w:val="0"/>
          <w:rtl/>
        </w:rPr>
      </w:pPr>
      <w:r w:rsidRPr="004C3650">
        <w:rPr>
          <w:rFonts w:ascii="Arial" w:hAnsi="Arial"/>
          <w:b/>
          <w:bCs/>
          <w:i/>
          <w:iCs/>
          <w:noProof w:val="0"/>
          <w:rtl/>
        </w:rPr>
        <w:t xml:space="preserve">"ההבחנה בין החוזה הרגיל לחוזה החד-צדדי בעניין זה היא במישור הוכחת "גמירת-הדעת". בחוזה החד-צדדי </w:t>
      </w:r>
      <w:r w:rsidRPr="004C3650">
        <w:rPr>
          <w:rFonts w:ascii="Arial" w:hAnsi="Arial"/>
          <w:b/>
          <w:bCs/>
          <w:i/>
          <w:iCs/>
          <w:noProof w:val="0"/>
          <w:u w:val="single"/>
          <w:rtl/>
        </w:rPr>
        <w:t>מתחייבת רמה גבוהה יותר של הוכחת גמירת-דעת</w:t>
      </w:r>
      <w:r w:rsidRPr="004C3650">
        <w:rPr>
          <w:rFonts w:ascii="Arial" w:hAnsi="Arial"/>
          <w:b/>
          <w:bCs/>
          <w:i/>
          <w:iCs/>
          <w:noProof w:val="0"/>
          <w:rtl/>
        </w:rPr>
        <w:t>, משום שגובר האינטרס להגן על מעניק המתנה. יפים לעניין זה דבריו של כבוד הנשיא שמגר בע"א 7051/93 האפוטרופוס הכללי נ' גולדברג [15]: "אכן, בהיות המתנה חוזה חד צדדי, ובפרט כאשר המדובר במתנה במקרקעין חייבת להיות הבדיקה לגבי גמירת דעתו של הנותן קפדנית במיוחד".</w:t>
      </w:r>
    </w:p>
    <w:p w:rsidR="00A57DDA" w:rsidRDefault="00A57DDA" w:rsidP="00A57DDA">
      <w:pPr>
        <w:spacing w:line="360" w:lineRule="auto"/>
        <w:ind w:left="1440"/>
        <w:jc w:val="both"/>
        <w:rPr>
          <w:rFonts w:ascii="Arial" w:hAnsi="Arial"/>
          <w:b/>
          <w:bCs/>
          <w:i/>
          <w:iCs/>
          <w:noProof w:val="0"/>
          <w:rtl/>
        </w:rPr>
      </w:pPr>
    </w:p>
    <w:p w:rsidR="00A57DDA" w:rsidRPr="00696A13" w:rsidRDefault="00A57DDA" w:rsidP="00A57DDA">
      <w:pPr>
        <w:spacing w:line="360" w:lineRule="auto"/>
        <w:ind w:left="2160"/>
        <w:jc w:val="both"/>
        <w:rPr>
          <w:rFonts w:ascii="Arial" w:hAnsi="Arial"/>
          <w:b/>
          <w:bCs/>
          <w:i/>
          <w:iCs/>
          <w:noProof w:val="0"/>
        </w:rPr>
      </w:pPr>
      <w:r w:rsidRPr="00696A13">
        <w:rPr>
          <w:rFonts w:ascii="Arial" w:hAnsi="Arial"/>
          <w:b/>
          <w:bCs/>
          <w:i/>
          <w:iCs/>
          <w:noProof w:val="0"/>
          <w:rtl/>
        </w:rPr>
        <w:t xml:space="preserve">לא כך הם פני הדברים במקרה של הסכם מתנה בו לא נערך מו"מ כלל. אומר על כך הנשיא שמגר: </w:t>
      </w:r>
    </w:p>
    <w:p w:rsidR="00A57DDA" w:rsidRPr="00C97F61" w:rsidRDefault="00A57DDA" w:rsidP="00A57DDA">
      <w:pPr>
        <w:spacing w:line="360" w:lineRule="auto"/>
        <w:jc w:val="both"/>
        <w:rPr>
          <w:rFonts w:ascii="Arial" w:hAnsi="Arial"/>
          <w:i/>
          <w:iCs/>
          <w:noProof w:val="0"/>
          <w:sz w:val="16"/>
          <w:szCs w:val="16"/>
        </w:rPr>
      </w:pPr>
    </w:p>
    <w:p w:rsidR="00A57DDA" w:rsidRDefault="00A57DDA" w:rsidP="00A57DDA">
      <w:pPr>
        <w:spacing w:line="360" w:lineRule="auto"/>
        <w:ind w:left="2160"/>
        <w:jc w:val="both"/>
        <w:rPr>
          <w:rFonts w:ascii="Arial" w:hAnsi="Arial"/>
          <w:b/>
          <w:bCs/>
          <w:i/>
          <w:iCs/>
          <w:noProof w:val="0"/>
          <w:rtl/>
        </w:rPr>
      </w:pPr>
      <w:r w:rsidRPr="00C97F61">
        <w:rPr>
          <w:rFonts w:ascii="Arial" w:hAnsi="Arial"/>
          <w:b/>
          <w:bCs/>
          <w:i/>
          <w:iCs/>
          <w:noProof w:val="0"/>
          <w:rtl/>
        </w:rPr>
        <w:t>"כאשר התקיים בין הצדדים משא ומתן מסחרי כמקובל, אינני רואה לחשוש לפזיזות ולקלות דעת אלא במקרים חריגים ויוצאי דופן בלבד. שונה המקרה בחוזה מתנה, אשר לא רק שנעדר אותה התמקחות, האופיינית לכל העסקות המסחריות, שיש בה כדי להעמיד את האדם הסביר על טיבה של ההתחייבות שנטל על עצמו, אלא גם טיבו ואופיו של אותו חוזה זה שונים מכל חוזה אחר, באשר יש הרואים אותו כ'חוזה חד-צדדי', שבו כלל לא נוצרות חובות הדדיות של המתקשרים".</w:t>
      </w:r>
    </w:p>
    <w:p w:rsidR="00A57DDA" w:rsidRPr="00696A13" w:rsidRDefault="00A57DDA" w:rsidP="00A57DDA">
      <w:pPr>
        <w:spacing w:line="360" w:lineRule="auto"/>
        <w:ind w:left="1440" w:firstLine="720"/>
        <w:jc w:val="both"/>
        <w:rPr>
          <w:rFonts w:ascii="Arial" w:hAnsi="Arial"/>
          <w:b/>
          <w:bCs/>
          <w:i/>
          <w:iCs/>
          <w:noProof w:val="0"/>
          <w:rtl/>
        </w:rPr>
      </w:pPr>
      <w:r w:rsidRPr="00696A13">
        <w:rPr>
          <w:rFonts w:ascii="Arial" w:hAnsi="Arial"/>
          <w:b/>
          <w:bCs/>
          <w:i/>
          <w:iCs/>
          <w:noProof w:val="0"/>
          <w:rtl/>
        </w:rPr>
        <w:t>מידת הגנה נמוכה יותר למקבל המתנה:</w:t>
      </w:r>
    </w:p>
    <w:p w:rsidR="00A57DDA" w:rsidRPr="00696A13" w:rsidRDefault="00A57DDA" w:rsidP="00A57DDA">
      <w:pPr>
        <w:spacing w:line="360" w:lineRule="auto"/>
        <w:ind w:left="2160"/>
        <w:jc w:val="both"/>
        <w:rPr>
          <w:rFonts w:ascii="Arial" w:hAnsi="Arial"/>
          <w:b/>
          <w:bCs/>
          <w:i/>
          <w:iCs/>
          <w:noProof w:val="0"/>
          <w:rtl/>
        </w:rPr>
      </w:pPr>
      <w:r w:rsidRPr="00696A13">
        <w:rPr>
          <w:rFonts w:ascii="Arial" w:hAnsi="Arial" w:hint="cs"/>
          <w:b/>
          <w:bCs/>
          <w:i/>
          <w:iCs/>
          <w:noProof w:val="0"/>
          <w:rtl/>
        </w:rPr>
        <w:t xml:space="preserve">53.1 </w:t>
      </w:r>
      <w:r w:rsidRPr="00696A13">
        <w:rPr>
          <w:rFonts w:ascii="Arial" w:hAnsi="Arial"/>
          <w:b/>
          <w:bCs/>
          <w:i/>
          <w:iCs/>
          <w:noProof w:val="0"/>
          <w:rtl/>
        </w:rPr>
        <w:t>בעוד קיימת שאיפה ברורה ומובנת לתת הגנה לאינטרס ההסתמכות של המתקשר בחוזה דו- צדדי; לא כך הם פני הדברים ביחס למקבל המתנה. אומרים על כך המלומדים פרידמן כהן:</w:t>
      </w:r>
    </w:p>
    <w:p w:rsidR="00A57DDA" w:rsidRPr="00696A13" w:rsidRDefault="00A57DDA" w:rsidP="00A57DDA">
      <w:pPr>
        <w:spacing w:line="360" w:lineRule="auto"/>
        <w:ind w:left="2160"/>
        <w:jc w:val="both"/>
        <w:rPr>
          <w:rFonts w:ascii="Arial" w:hAnsi="Arial"/>
          <w:b/>
          <w:bCs/>
          <w:i/>
          <w:iCs/>
          <w:noProof w:val="0"/>
          <w:rtl/>
        </w:rPr>
      </w:pPr>
      <w:r w:rsidRPr="00696A13">
        <w:rPr>
          <w:rFonts w:ascii="Arial" w:hAnsi="Arial"/>
          <w:b/>
          <w:bCs/>
          <w:i/>
          <w:iCs/>
          <w:noProof w:val="0"/>
          <w:rtl/>
        </w:rPr>
        <w:lastRenderedPageBreak/>
        <w:t xml:space="preserve">"ההבחנה החוזרת ונשנית בחקיקה בין עיסקה בתמורה לבין עיסקה שאיננה בתמורה איננה בכדי. הבחנה זו משרתת מטרה מועילה והיא תואמת את רגש הצדק. </w:t>
      </w:r>
      <w:r w:rsidRPr="00696A13">
        <w:rPr>
          <w:rFonts w:ascii="Arial" w:hAnsi="Arial"/>
          <w:b/>
          <w:bCs/>
          <w:i/>
          <w:iCs/>
          <w:noProof w:val="0"/>
          <w:u w:val="single"/>
          <w:rtl/>
        </w:rPr>
        <w:t>הדעת נותנת שההגנה אשר תינתן למקבל מתנה תיפול, במידה ניכרת, בעוצמתה מזו המוענקת למי שנתן תמורה</w:t>
      </w:r>
      <w:r w:rsidRPr="00696A13">
        <w:rPr>
          <w:rFonts w:ascii="Arial" w:hAnsi="Arial"/>
          <w:b/>
          <w:bCs/>
          <w:i/>
          <w:iCs/>
          <w:noProof w:val="0"/>
          <w:rtl/>
        </w:rPr>
        <w:t>. הטעם ברור. צד שלא תרם מצידו דבר לעיסקה ושכל מה שניתן לו בחסד ניתן, איננו זכאי לאותה מידה של הגנה הניתנת למי שתרם לעיסקה החוזית".</w:t>
      </w:r>
    </w:p>
    <w:p w:rsidR="00A57DDA" w:rsidRDefault="00A57DDA" w:rsidP="00A57DDA">
      <w:pPr>
        <w:spacing w:line="360" w:lineRule="auto"/>
        <w:ind w:left="1440"/>
        <w:jc w:val="both"/>
        <w:rPr>
          <w:rFonts w:ascii="Arial" w:hAnsi="Arial"/>
          <w:b/>
          <w:bCs/>
          <w:noProof w:val="0"/>
          <w:rtl/>
        </w:rPr>
      </w:pPr>
    </w:p>
    <w:p w:rsidR="00A57DDA" w:rsidRPr="00696A13" w:rsidRDefault="00A57DDA" w:rsidP="00ED6C61">
      <w:pPr>
        <w:spacing w:line="360" w:lineRule="auto"/>
        <w:ind w:left="2160"/>
        <w:jc w:val="both"/>
        <w:rPr>
          <w:rFonts w:ascii="Arial" w:hAnsi="Arial"/>
          <w:b/>
          <w:bCs/>
          <w:i/>
          <w:iCs/>
          <w:noProof w:val="0"/>
          <w:rtl/>
        </w:rPr>
      </w:pPr>
      <w:r w:rsidRPr="00696A13">
        <w:rPr>
          <w:rFonts w:ascii="Arial" w:hAnsi="Arial" w:hint="cs"/>
          <w:b/>
          <w:bCs/>
          <w:i/>
          <w:iCs/>
          <w:noProof w:val="0"/>
          <w:rtl/>
        </w:rPr>
        <w:t xml:space="preserve">53.2 </w:t>
      </w:r>
      <w:r w:rsidRPr="00696A13">
        <w:rPr>
          <w:rFonts w:ascii="Arial" w:hAnsi="Arial"/>
          <w:b/>
          <w:bCs/>
          <w:i/>
          <w:iCs/>
          <w:noProof w:val="0"/>
          <w:rtl/>
        </w:rPr>
        <w:t xml:space="preserve">לכן </w:t>
      </w:r>
      <w:r w:rsidR="00ED6C61">
        <w:rPr>
          <w:rFonts w:ascii="Arial" w:hAnsi="Arial"/>
          <w:b/>
          <w:bCs/>
          <w:i/>
          <w:iCs/>
          <w:noProof w:val="0"/>
          <w:rtl/>
        </w:rPr>
        <w:t>מלכתחילה אינטרס ההסתמכות</w:t>
      </w:r>
      <w:r w:rsidRPr="00696A13">
        <w:rPr>
          <w:rFonts w:ascii="Arial" w:hAnsi="Arial"/>
          <w:b/>
          <w:bCs/>
          <w:i/>
          <w:iCs/>
          <w:noProof w:val="0"/>
          <w:rtl/>
        </w:rPr>
        <w:t xml:space="preserve"> לקבלת המתנה אינו מקבל הגנה אותה מקבל צד להסכם דו- צדדי, בו מוענקת תמורה.</w:t>
      </w:r>
    </w:p>
    <w:p w:rsidR="00A57DDA" w:rsidRPr="00696A13" w:rsidRDefault="00A57DDA" w:rsidP="00A57DDA">
      <w:pPr>
        <w:spacing w:line="360" w:lineRule="auto"/>
        <w:ind w:left="1440" w:hanging="720"/>
        <w:jc w:val="both"/>
        <w:rPr>
          <w:rFonts w:ascii="Arial" w:hAnsi="Arial"/>
          <w:b/>
          <w:bCs/>
          <w:i/>
          <w:iCs/>
          <w:noProof w:val="0"/>
          <w:rtl/>
        </w:rPr>
      </w:pPr>
    </w:p>
    <w:p w:rsidR="00A57DDA" w:rsidRPr="00696A13" w:rsidRDefault="00A57DDA" w:rsidP="00A57DDA">
      <w:pPr>
        <w:spacing w:line="360" w:lineRule="auto"/>
        <w:ind w:right="851" w:firstLine="720"/>
        <w:jc w:val="both"/>
        <w:rPr>
          <w:rFonts w:ascii="Arial" w:hAnsi="Arial"/>
          <w:b/>
          <w:bCs/>
          <w:i/>
          <w:iCs/>
          <w:noProof w:val="0"/>
        </w:rPr>
      </w:pPr>
      <w:r w:rsidRPr="00696A13">
        <w:rPr>
          <w:rFonts w:ascii="Arial" w:hAnsi="Arial" w:hint="cs"/>
          <w:b/>
          <w:bCs/>
          <w:i/>
          <w:iCs/>
          <w:noProof w:val="0"/>
          <w:rtl/>
        </w:rPr>
        <w:t>54.</w:t>
      </w:r>
      <w:r w:rsidRPr="00696A13">
        <w:rPr>
          <w:rFonts w:ascii="Arial" w:hAnsi="Arial" w:hint="cs"/>
          <w:b/>
          <w:bCs/>
          <w:i/>
          <w:iCs/>
          <w:noProof w:val="0"/>
          <w:rtl/>
        </w:rPr>
        <w:tab/>
      </w:r>
      <w:r w:rsidRPr="00696A13">
        <w:rPr>
          <w:rFonts w:ascii="Arial" w:hAnsi="Arial"/>
          <w:b/>
          <w:bCs/>
          <w:i/>
          <w:iCs/>
          <w:noProof w:val="0"/>
          <w:u w:val="single"/>
          <w:rtl/>
        </w:rPr>
        <w:t>גמירות הדעת של נותן המתנה</w:t>
      </w:r>
      <w:r w:rsidRPr="00696A13">
        <w:rPr>
          <w:rFonts w:ascii="Arial" w:hAnsi="Arial"/>
          <w:b/>
          <w:bCs/>
          <w:i/>
          <w:iCs/>
          <w:noProof w:val="0"/>
          <w:rtl/>
        </w:rPr>
        <w:t>:</w:t>
      </w:r>
    </w:p>
    <w:p w:rsidR="00A57DDA" w:rsidRPr="00696A13" w:rsidRDefault="00A57DDA" w:rsidP="00A57DDA">
      <w:pPr>
        <w:pStyle w:val="af1"/>
        <w:spacing w:line="360" w:lineRule="auto"/>
        <w:ind w:left="360" w:right="851"/>
        <w:jc w:val="both"/>
        <w:rPr>
          <w:rFonts w:ascii="Arial" w:hAnsi="Arial"/>
          <w:b/>
          <w:bCs/>
          <w:i/>
          <w:iCs/>
          <w:noProof w:val="0"/>
          <w:sz w:val="6"/>
          <w:szCs w:val="6"/>
          <w:rtl/>
        </w:rPr>
      </w:pPr>
    </w:p>
    <w:p w:rsidR="00A57DDA" w:rsidRPr="00696A13" w:rsidRDefault="00A57DDA" w:rsidP="00A57DDA">
      <w:pPr>
        <w:spacing w:line="360" w:lineRule="auto"/>
        <w:ind w:left="1440"/>
        <w:jc w:val="both"/>
        <w:rPr>
          <w:rFonts w:ascii="Arial" w:hAnsi="Arial"/>
          <w:b/>
          <w:bCs/>
          <w:i/>
          <w:iCs/>
          <w:noProof w:val="0"/>
          <w:rtl/>
        </w:rPr>
      </w:pPr>
      <w:r w:rsidRPr="00696A13">
        <w:rPr>
          <w:rFonts w:ascii="Arial" w:hAnsi="Arial" w:hint="cs"/>
          <w:b/>
          <w:bCs/>
          <w:i/>
          <w:iCs/>
          <w:noProof w:val="0"/>
          <w:rtl/>
        </w:rPr>
        <w:t xml:space="preserve">54.1 </w:t>
      </w:r>
      <w:r w:rsidRPr="00696A13">
        <w:rPr>
          <w:rFonts w:ascii="Arial" w:hAnsi="Arial"/>
          <w:b/>
          <w:bCs/>
          <w:i/>
          <w:iCs/>
          <w:noProof w:val="0"/>
          <w:rtl/>
        </w:rPr>
        <w:t>כיצד מאתר ביהמ"ש את גמירות הדעת בהסכם המתנה או שמא נאמר כיצד מסיק ביהמ"ש את העדר גמירות הדעת בהסכמי מתנה?</w:t>
      </w:r>
    </w:p>
    <w:p w:rsidR="00A57DDA" w:rsidRPr="00696A13" w:rsidRDefault="00A57DDA" w:rsidP="00A57DDA">
      <w:pPr>
        <w:spacing w:line="360" w:lineRule="auto"/>
        <w:ind w:left="1440"/>
        <w:jc w:val="both"/>
        <w:rPr>
          <w:rFonts w:ascii="Arial" w:hAnsi="Arial"/>
          <w:b/>
          <w:bCs/>
          <w:i/>
          <w:iCs/>
          <w:noProof w:val="0"/>
          <w:rtl/>
        </w:rPr>
      </w:pPr>
      <w:r w:rsidRPr="00696A13">
        <w:rPr>
          <w:rFonts w:ascii="Arial" w:hAnsi="Arial" w:hint="cs"/>
          <w:b/>
          <w:bCs/>
          <w:i/>
          <w:iCs/>
          <w:noProof w:val="0"/>
          <w:rtl/>
        </w:rPr>
        <w:t xml:space="preserve">54.2 </w:t>
      </w:r>
      <w:r w:rsidRPr="00696A13">
        <w:rPr>
          <w:rFonts w:ascii="Arial" w:hAnsi="Arial"/>
          <w:b/>
          <w:bCs/>
          <w:i/>
          <w:iCs/>
          <w:noProof w:val="0"/>
          <w:rtl/>
        </w:rPr>
        <w:t>לשאלה זאת אין כמובן "רשימת מכולת" והדבר תלוי בנסיבותיו של כל תיק. יחד עם זאת, שני הפרמטרים המרכזיים אותם יבחן ביהמ"ש הם: ראשית, המשמעות. הכספית של המתנה; שנית, מצבו המנטאלי של נותן המתנה".</w:t>
      </w:r>
    </w:p>
    <w:p w:rsidR="00A57DDA" w:rsidRDefault="00A57DDA" w:rsidP="00A57DDA">
      <w:pPr>
        <w:spacing w:line="360" w:lineRule="auto"/>
        <w:ind w:left="272" w:firstLine="720"/>
        <w:rPr>
          <w:rFonts w:ascii="Arial" w:hAnsi="Arial"/>
          <w:noProof w:val="0"/>
          <w:rtl/>
        </w:rPr>
      </w:pPr>
      <w:r>
        <w:rPr>
          <w:rFonts w:ascii="Arial" w:hAnsi="Arial"/>
          <w:noProof w:val="0"/>
          <w:rtl/>
        </w:rPr>
        <w:t>(וראה</w:t>
      </w:r>
      <w:r>
        <w:rPr>
          <w:rFonts w:ascii="Arial" w:hAnsi="Arial" w:hint="cs"/>
          <w:noProof w:val="0"/>
          <w:rtl/>
        </w:rPr>
        <w:t>:</w:t>
      </w:r>
      <w:r>
        <w:rPr>
          <w:rFonts w:ascii="Arial" w:hAnsi="Arial"/>
          <w:noProof w:val="0"/>
          <w:rtl/>
        </w:rPr>
        <w:t xml:space="preserve"> </w:t>
      </w:r>
      <w:r w:rsidRPr="00330294">
        <w:rPr>
          <w:rFonts w:ascii="Arial" w:hAnsi="Arial"/>
          <w:noProof w:val="0"/>
          <w:rtl/>
        </w:rPr>
        <w:t>תמ"ש (ת"א) 1578-12-11</w:t>
      </w:r>
      <w:r w:rsidRPr="00D709B7">
        <w:rPr>
          <w:rFonts w:ascii="Arial" w:hAnsi="Arial"/>
          <w:b/>
          <w:bCs/>
          <w:noProof w:val="0"/>
          <w:rtl/>
        </w:rPr>
        <w:t xml:space="preserve"> מ' נ' מ'</w:t>
      </w:r>
      <w:r>
        <w:rPr>
          <w:rFonts w:ascii="Arial" w:hAnsi="Arial"/>
          <w:b/>
          <w:bCs/>
          <w:noProof w:val="0"/>
          <w:rtl/>
        </w:rPr>
        <w:t xml:space="preserve"> </w:t>
      </w:r>
      <w:r>
        <w:rPr>
          <w:rFonts w:ascii="Arial" w:hAnsi="Arial" w:hint="cs"/>
          <w:noProof w:val="0"/>
          <w:rtl/>
        </w:rPr>
        <w:t xml:space="preserve">{פמ"מ </w:t>
      </w:r>
      <w:r>
        <w:rPr>
          <w:rFonts w:ascii="Arial" w:hAnsi="Arial"/>
          <w:noProof w:val="0"/>
          <w:rtl/>
        </w:rPr>
        <w:t>–</w:t>
      </w:r>
      <w:r>
        <w:rPr>
          <w:rFonts w:ascii="Arial" w:hAnsi="Arial" w:hint="cs"/>
          <w:noProof w:val="0"/>
          <w:rtl/>
        </w:rPr>
        <w:t xml:space="preserve"> 09.09.2013}).</w:t>
      </w:r>
    </w:p>
    <w:p w:rsidR="00A57DDA" w:rsidRDefault="00A57DDA" w:rsidP="00A57DDA">
      <w:pPr>
        <w:spacing w:line="360" w:lineRule="auto"/>
        <w:ind w:left="720" w:hanging="720"/>
        <w:rPr>
          <w:rFonts w:ascii="Arial" w:hAnsi="Arial"/>
          <w:noProof w:val="0"/>
          <w:rtl/>
        </w:rPr>
      </w:pPr>
    </w:p>
    <w:p w:rsidR="00A57DDA" w:rsidRPr="00D709B7" w:rsidRDefault="00A57DDA" w:rsidP="00A57DDA">
      <w:pPr>
        <w:pStyle w:val="af1"/>
        <w:numPr>
          <w:ilvl w:val="0"/>
          <w:numId w:val="1"/>
        </w:numPr>
        <w:spacing w:line="360" w:lineRule="auto"/>
        <w:rPr>
          <w:rFonts w:ascii="Arial" w:hAnsi="Arial"/>
          <w:noProof w:val="0"/>
          <w:rtl/>
        </w:rPr>
      </w:pPr>
      <w:r w:rsidRPr="00D709B7">
        <w:rPr>
          <w:rFonts w:ascii="Arial" w:hAnsi="Arial"/>
          <w:noProof w:val="0"/>
          <w:rtl/>
        </w:rPr>
        <w:t xml:space="preserve">הואיל וכך מגיעים אנו לשלב הבא, השואל האם צריכות "המתנות" להתבטל כאשר כנגד </w:t>
      </w:r>
      <w:r>
        <w:rPr>
          <w:rFonts w:ascii="Arial" w:hAnsi="Arial" w:hint="cs"/>
          <w:noProof w:val="0"/>
          <w:rtl/>
        </w:rPr>
        <w:t xml:space="preserve">תוקפה </w:t>
      </w:r>
      <w:r w:rsidRPr="00D709B7">
        <w:rPr>
          <w:rFonts w:ascii="Arial" w:hAnsi="Arial"/>
          <w:noProof w:val="0"/>
          <w:rtl/>
        </w:rPr>
        <w:t xml:space="preserve"> של המתנ</w:t>
      </w:r>
      <w:r>
        <w:rPr>
          <w:rFonts w:ascii="Arial" w:hAnsi="Arial" w:hint="cs"/>
          <w:noProof w:val="0"/>
          <w:rtl/>
        </w:rPr>
        <w:t>ה</w:t>
      </w:r>
      <w:r w:rsidRPr="00D709B7">
        <w:rPr>
          <w:rFonts w:ascii="Arial" w:hAnsi="Arial"/>
          <w:noProof w:val="0"/>
          <w:rtl/>
        </w:rPr>
        <w:t xml:space="preserve"> ניצבות בין השאר</w:t>
      </w:r>
      <w:r>
        <w:rPr>
          <w:rFonts w:ascii="Arial" w:hAnsi="Arial" w:hint="cs"/>
          <w:noProof w:val="0"/>
          <w:rtl/>
        </w:rPr>
        <w:t xml:space="preserve"> שאלות כדלקמן</w:t>
      </w:r>
      <w:r w:rsidRPr="00D709B7">
        <w:rPr>
          <w:rFonts w:ascii="Arial" w:hAnsi="Arial"/>
          <w:noProof w:val="0"/>
          <w:rtl/>
        </w:rPr>
        <w:t>:</w:t>
      </w:r>
    </w:p>
    <w:p w:rsidR="00A57DDA" w:rsidRDefault="00A57DDA" w:rsidP="00A57DDA">
      <w:pPr>
        <w:pStyle w:val="af1"/>
        <w:numPr>
          <w:ilvl w:val="0"/>
          <w:numId w:val="3"/>
        </w:numPr>
        <w:spacing w:line="360" w:lineRule="auto"/>
        <w:rPr>
          <w:rFonts w:ascii="Arial" w:hAnsi="Arial"/>
          <w:noProof w:val="0"/>
        </w:rPr>
      </w:pPr>
      <w:r w:rsidRPr="00D709B7">
        <w:rPr>
          <w:rFonts w:ascii="Arial" w:hAnsi="Arial"/>
          <w:noProof w:val="0"/>
          <w:rtl/>
        </w:rPr>
        <w:t>אי הגינות.</w:t>
      </w:r>
    </w:p>
    <w:p w:rsidR="00A57DDA" w:rsidRDefault="00A57DDA" w:rsidP="00A57DDA">
      <w:pPr>
        <w:pStyle w:val="af1"/>
        <w:numPr>
          <w:ilvl w:val="0"/>
          <w:numId w:val="3"/>
        </w:numPr>
        <w:spacing w:line="360" w:lineRule="auto"/>
        <w:rPr>
          <w:rFonts w:ascii="Arial" w:hAnsi="Arial"/>
          <w:noProof w:val="0"/>
        </w:rPr>
      </w:pPr>
      <w:r w:rsidRPr="00D709B7">
        <w:rPr>
          <w:rFonts w:ascii="Arial" w:hAnsi="Arial"/>
          <w:noProof w:val="0"/>
          <w:rtl/>
        </w:rPr>
        <w:t>השפעה בלתי הוגנת.</w:t>
      </w:r>
    </w:p>
    <w:p w:rsidR="00A57DDA" w:rsidRDefault="00A57DDA" w:rsidP="00A57DDA">
      <w:pPr>
        <w:pStyle w:val="af1"/>
        <w:numPr>
          <w:ilvl w:val="0"/>
          <w:numId w:val="3"/>
        </w:numPr>
        <w:spacing w:line="360" w:lineRule="auto"/>
        <w:rPr>
          <w:rFonts w:ascii="Arial" w:hAnsi="Arial"/>
          <w:noProof w:val="0"/>
        </w:rPr>
      </w:pPr>
      <w:r w:rsidRPr="000342FF">
        <w:rPr>
          <w:rFonts w:ascii="Arial" w:hAnsi="Arial"/>
          <w:noProof w:val="0"/>
          <w:rtl/>
        </w:rPr>
        <w:t>עושק.</w:t>
      </w:r>
    </w:p>
    <w:p w:rsidR="00A57DDA" w:rsidRDefault="00A57DDA" w:rsidP="00A57DDA">
      <w:pPr>
        <w:pStyle w:val="af1"/>
        <w:numPr>
          <w:ilvl w:val="0"/>
          <w:numId w:val="3"/>
        </w:numPr>
        <w:spacing w:line="360" w:lineRule="auto"/>
        <w:rPr>
          <w:rFonts w:ascii="Arial" w:hAnsi="Arial"/>
          <w:noProof w:val="0"/>
        </w:rPr>
      </w:pPr>
      <w:r w:rsidRPr="000342FF">
        <w:rPr>
          <w:rFonts w:ascii="Arial" w:hAnsi="Arial"/>
          <w:noProof w:val="0"/>
          <w:rtl/>
        </w:rPr>
        <w:t>אי כשירות.</w:t>
      </w:r>
    </w:p>
    <w:p w:rsidR="00A57DDA" w:rsidRDefault="00A57DDA" w:rsidP="00A57DDA">
      <w:pPr>
        <w:pStyle w:val="af1"/>
        <w:numPr>
          <w:ilvl w:val="0"/>
          <w:numId w:val="3"/>
        </w:numPr>
        <w:spacing w:line="360" w:lineRule="auto"/>
        <w:rPr>
          <w:rFonts w:ascii="Arial" w:hAnsi="Arial"/>
          <w:noProof w:val="0"/>
        </w:rPr>
      </w:pPr>
      <w:r w:rsidRPr="000342FF">
        <w:rPr>
          <w:rFonts w:ascii="Arial" w:hAnsi="Arial"/>
          <w:noProof w:val="0"/>
          <w:rtl/>
        </w:rPr>
        <w:t>זעקת ההגינות.</w:t>
      </w:r>
    </w:p>
    <w:p w:rsidR="00A57DDA" w:rsidRDefault="00A57DDA" w:rsidP="00A57DDA">
      <w:pPr>
        <w:pStyle w:val="af1"/>
        <w:numPr>
          <w:ilvl w:val="0"/>
          <w:numId w:val="3"/>
        </w:numPr>
        <w:spacing w:line="360" w:lineRule="auto"/>
        <w:rPr>
          <w:rFonts w:ascii="Arial" w:hAnsi="Arial"/>
          <w:noProof w:val="0"/>
        </w:rPr>
      </w:pPr>
      <w:r w:rsidRPr="000342FF">
        <w:rPr>
          <w:rFonts w:ascii="Arial" w:hAnsi="Arial"/>
          <w:noProof w:val="0"/>
          <w:rtl/>
        </w:rPr>
        <w:t>היעדר גמירות דעת במובן הרחב של המילה.</w:t>
      </w:r>
    </w:p>
    <w:p w:rsidR="00A57DDA" w:rsidRDefault="00A57DDA" w:rsidP="00A57DDA">
      <w:pPr>
        <w:pStyle w:val="af1"/>
        <w:numPr>
          <w:ilvl w:val="0"/>
          <w:numId w:val="3"/>
        </w:numPr>
        <w:spacing w:line="360" w:lineRule="auto"/>
        <w:rPr>
          <w:rFonts w:ascii="Arial" w:hAnsi="Arial"/>
          <w:noProof w:val="0"/>
        </w:rPr>
      </w:pPr>
      <w:r w:rsidRPr="000342FF">
        <w:rPr>
          <w:rFonts w:ascii="Arial" w:hAnsi="Arial"/>
          <w:noProof w:val="0"/>
          <w:rtl/>
        </w:rPr>
        <w:t>היעדר תום לב גם בראי הצוואה ההדדית.</w:t>
      </w:r>
    </w:p>
    <w:p w:rsidR="00A57DDA" w:rsidRPr="000342FF" w:rsidRDefault="00A57DDA" w:rsidP="00A57DDA">
      <w:pPr>
        <w:pStyle w:val="af1"/>
        <w:numPr>
          <w:ilvl w:val="0"/>
          <w:numId w:val="3"/>
        </w:numPr>
        <w:spacing w:line="360" w:lineRule="auto"/>
        <w:rPr>
          <w:rFonts w:ascii="Arial" w:hAnsi="Arial"/>
          <w:noProof w:val="0"/>
          <w:rtl/>
        </w:rPr>
      </w:pPr>
      <w:r w:rsidRPr="000342FF">
        <w:rPr>
          <w:rFonts w:ascii="Arial" w:hAnsi="Arial"/>
          <w:noProof w:val="0"/>
          <w:rtl/>
        </w:rPr>
        <w:t>טעמים שבתקנת הציבור.</w:t>
      </w:r>
    </w:p>
    <w:p w:rsidR="00A57DDA" w:rsidRPr="000342FF" w:rsidRDefault="00A57DDA" w:rsidP="00A57DDA">
      <w:pPr>
        <w:spacing w:line="360" w:lineRule="auto"/>
        <w:ind w:left="1440"/>
        <w:jc w:val="both"/>
        <w:rPr>
          <w:rFonts w:ascii="Arial" w:hAnsi="Arial"/>
          <w:b/>
          <w:bCs/>
          <w:i/>
          <w:iCs/>
          <w:noProof w:val="0"/>
          <w:sz w:val="16"/>
          <w:szCs w:val="16"/>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משנטען כי המתנה "הניבה" (שמא תאמר גרמה) השקעות של הנתבע במיליוני ₪, עליהן ידעו או צריכים היו הנתבעים לדעת, מגיעים אנו גם לשאלת דוקטרינת עצימת העיניים ולדיון בשאלה מה היא. </w:t>
      </w:r>
    </w:p>
    <w:p w:rsidR="00A57DDA" w:rsidRPr="00B41C2A" w:rsidRDefault="00A57DDA" w:rsidP="00A57DDA">
      <w:pPr>
        <w:pStyle w:val="af1"/>
        <w:spacing w:line="360" w:lineRule="auto"/>
        <w:ind w:left="360"/>
        <w:jc w:val="both"/>
        <w:rPr>
          <w:rFonts w:ascii="Arial" w:hAnsi="Arial"/>
          <w:noProof w:val="0"/>
        </w:rPr>
      </w:pPr>
    </w:p>
    <w:p w:rsidR="00A57DDA" w:rsidRDefault="00A57DDA" w:rsidP="00A57DDA">
      <w:pPr>
        <w:pStyle w:val="af1"/>
        <w:numPr>
          <w:ilvl w:val="0"/>
          <w:numId w:val="1"/>
        </w:numPr>
        <w:spacing w:line="360" w:lineRule="auto"/>
        <w:jc w:val="both"/>
        <w:rPr>
          <w:rFonts w:ascii="Arial" w:hAnsi="Arial"/>
          <w:noProof w:val="0"/>
        </w:rPr>
      </w:pPr>
      <w:r w:rsidRPr="00FC7649">
        <w:rPr>
          <w:rFonts w:ascii="Arial" w:hAnsi="Arial"/>
          <w:noProof w:val="0"/>
          <w:rtl/>
        </w:rPr>
        <w:lastRenderedPageBreak/>
        <w:t xml:space="preserve">דוקטרינת עצימת העיניים מייחסת לזה אשר במתכוון </w:t>
      </w:r>
      <w:r>
        <w:rPr>
          <w:rFonts w:ascii="Arial" w:hAnsi="Arial" w:hint="cs"/>
          <w:noProof w:val="0"/>
          <w:rtl/>
        </w:rPr>
        <w:t>"</w:t>
      </w:r>
      <w:r w:rsidRPr="00FC7649">
        <w:rPr>
          <w:rFonts w:ascii="Arial" w:hAnsi="Arial"/>
          <w:noProof w:val="0"/>
          <w:rtl/>
        </w:rPr>
        <w:t>עצם עיניו</w:t>
      </w:r>
      <w:r>
        <w:rPr>
          <w:rFonts w:ascii="Arial" w:hAnsi="Arial" w:hint="cs"/>
          <w:noProof w:val="0"/>
          <w:rtl/>
        </w:rPr>
        <w:t>"</w:t>
      </w:r>
      <w:r w:rsidRPr="00FC7649">
        <w:rPr>
          <w:rFonts w:ascii="Arial" w:hAnsi="Arial"/>
          <w:noProof w:val="0"/>
          <w:rtl/>
        </w:rPr>
        <w:t xml:space="preserve"> מלברר העובדות נכונה ולתועלתו התנהלות חסרת תום לב</w:t>
      </w:r>
      <w:r>
        <w:rPr>
          <w:rFonts w:ascii="Arial" w:hAnsi="Arial" w:hint="cs"/>
          <w:noProof w:val="0"/>
          <w:rtl/>
        </w:rPr>
        <w:t>,</w:t>
      </w:r>
      <w:r w:rsidRPr="00FC7649">
        <w:rPr>
          <w:rFonts w:ascii="Arial" w:hAnsi="Arial"/>
          <w:noProof w:val="0"/>
          <w:rtl/>
        </w:rPr>
        <w:t xml:space="preserve"> שיש בה כדי להביא לביטול העסקה.</w:t>
      </w:r>
    </w:p>
    <w:p w:rsidR="00A57DDA" w:rsidRPr="00003DA9" w:rsidRDefault="00A57DDA" w:rsidP="00A57DDA">
      <w:pPr>
        <w:pStyle w:val="af1"/>
        <w:rPr>
          <w:rFonts w:ascii="Arial" w:hAnsi="Arial"/>
          <w:noProof w:val="0"/>
          <w:rtl/>
        </w:rPr>
      </w:pPr>
    </w:p>
    <w:p w:rsidR="00A57DDA" w:rsidRPr="00003DA9" w:rsidRDefault="00A57DDA" w:rsidP="00A57DDA">
      <w:pPr>
        <w:pStyle w:val="af1"/>
        <w:numPr>
          <w:ilvl w:val="0"/>
          <w:numId w:val="1"/>
        </w:numPr>
        <w:spacing w:line="360" w:lineRule="auto"/>
        <w:jc w:val="both"/>
        <w:rPr>
          <w:rFonts w:ascii="Arial" w:hAnsi="Arial"/>
          <w:noProof w:val="0"/>
        </w:rPr>
      </w:pPr>
      <w:r w:rsidRPr="00003DA9">
        <w:rPr>
          <w:rFonts w:ascii="Arial" w:hAnsi="Arial"/>
          <w:noProof w:val="0"/>
          <w:rtl/>
        </w:rPr>
        <w:t xml:space="preserve">וכך הסברתי </w:t>
      </w:r>
      <w:r>
        <w:rPr>
          <w:rFonts w:ascii="Arial" w:hAnsi="Arial" w:hint="cs"/>
          <w:noProof w:val="0"/>
          <w:rtl/>
        </w:rPr>
        <w:t xml:space="preserve">בעבר </w:t>
      </w:r>
      <w:r w:rsidRPr="00003DA9">
        <w:rPr>
          <w:rFonts w:ascii="Arial" w:hAnsi="Arial"/>
          <w:noProof w:val="0"/>
          <w:rtl/>
        </w:rPr>
        <w:t xml:space="preserve">את הדוקטרינה ותוצאותיה: </w:t>
      </w:r>
    </w:p>
    <w:p w:rsidR="00A57DDA" w:rsidRDefault="00A57DDA" w:rsidP="00A57DDA">
      <w:pPr>
        <w:spacing w:line="360" w:lineRule="auto"/>
        <w:ind w:right="851"/>
        <w:jc w:val="both"/>
        <w:rPr>
          <w:rFonts w:ascii="Arial" w:hAnsi="Arial"/>
          <w:b/>
          <w:bCs/>
          <w:noProof w:val="0"/>
          <w:rtl/>
        </w:rPr>
      </w:pPr>
    </w:p>
    <w:p w:rsidR="00A57DDA" w:rsidRDefault="00A57DDA" w:rsidP="00A57DDA">
      <w:pPr>
        <w:spacing w:line="360" w:lineRule="auto"/>
        <w:ind w:left="1440"/>
        <w:jc w:val="both"/>
        <w:rPr>
          <w:rFonts w:ascii="Arial" w:hAnsi="Arial"/>
          <w:b/>
          <w:bCs/>
          <w:noProof w:val="0"/>
          <w:rtl/>
        </w:rPr>
      </w:pPr>
      <w:r>
        <w:rPr>
          <w:rFonts w:ascii="Arial" w:hAnsi="Arial"/>
          <w:b/>
          <w:bCs/>
          <w:noProof w:val="0"/>
          <w:rtl/>
        </w:rPr>
        <w:t>"כתב הפרופ' אוריאל רייכמן, במאמרו "השפעת זיקת ההנאה על הלכות שכנים" עיומ"ש ד' (התשל"ה-ל"ו), בעמ' 144, כך:</w:t>
      </w:r>
    </w:p>
    <w:p w:rsidR="00A57DDA" w:rsidRDefault="00A57DDA" w:rsidP="00A57DDA">
      <w:pPr>
        <w:spacing w:line="360" w:lineRule="auto"/>
        <w:ind w:left="1080" w:right="1418" w:firstLine="720"/>
        <w:jc w:val="both"/>
        <w:rPr>
          <w:rFonts w:ascii="Arial" w:hAnsi="Arial"/>
          <w:b/>
          <w:bCs/>
          <w:noProof w:val="0"/>
          <w:rtl/>
        </w:rPr>
      </w:pPr>
    </w:p>
    <w:p w:rsidR="00A57DDA" w:rsidRDefault="00A57DDA" w:rsidP="00A57DDA">
      <w:pPr>
        <w:spacing w:line="360" w:lineRule="auto"/>
        <w:ind w:left="2160"/>
        <w:jc w:val="both"/>
        <w:rPr>
          <w:rFonts w:ascii="Arial" w:hAnsi="Arial"/>
          <w:b/>
          <w:bCs/>
          <w:noProof w:val="0"/>
          <w:rtl/>
        </w:rPr>
      </w:pPr>
      <w:r>
        <w:rPr>
          <w:rFonts w:ascii="Arial" w:hAnsi="Arial"/>
          <w:b/>
          <w:bCs/>
          <w:noProof w:val="0"/>
          <w:rtl/>
        </w:rPr>
        <w:t>"תום לב – במישור היושר – נשלל לא רק כאשר קיימת ידיעה ממשית אלא גם כאשר קיימת ידיעה קונסטרוקטיבית, כאשר לא נערכו אותן בדיקות שהיו עשויות להביא לידיעה".</w:t>
      </w:r>
      <w:r>
        <w:rPr>
          <w:rFonts w:ascii="Arial" w:hAnsi="Arial" w:hint="cs"/>
          <w:b/>
          <w:bCs/>
          <w:noProof w:val="0"/>
          <w:rtl/>
        </w:rPr>
        <w:t xml:space="preserve"> </w:t>
      </w:r>
    </w:p>
    <w:p w:rsidR="00A57DDA" w:rsidRDefault="00A57DDA" w:rsidP="00A57DDA">
      <w:pPr>
        <w:spacing w:line="360" w:lineRule="auto"/>
        <w:ind w:left="720" w:right="1418" w:firstLine="720"/>
        <w:jc w:val="both"/>
        <w:rPr>
          <w:rFonts w:ascii="Arial" w:hAnsi="Arial"/>
          <w:b/>
          <w:bCs/>
          <w:noProof w:val="0"/>
          <w:rtl/>
        </w:rPr>
      </w:pPr>
    </w:p>
    <w:p w:rsidR="00A57DDA" w:rsidRDefault="00A57DDA" w:rsidP="00A57DDA">
      <w:pPr>
        <w:spacing w:line="360" w:lineRule="auto"/>
        <w:ind w:left="720" w:right="1418" w:firstLine="720"/>
        <w:jc w:val="both"/>
        <w:rPr>
          <w:rFonts w:ascii="Arial" w:hAnsi="Arial"/>
          <w:b/>
          <w:bCs/>
          <w:noProof w:val="0"/>
          <w:rtl/>
        </w:rPr>
      </w:pPr>
      <w:r>
        <w:rPr>
          <w:rFonts w:ascii="Arial" w:hAnsi="Arial"/>
          <w:b/>
          <w:bCs/>
          <w:noProof w:val="0"/>
          <w:rtl/>
        </w:rPr>
        <w:t>והוסיף הוא והסביר:</w:t>
      </w:r>
    </w:p>
    <w:p w:rsidR="00A57DDA" w:rsidRDefault="00A57DDA" w:rsidP="00A57DDA">
      <w:pPr>
        <w:spacing w:line="360" w:lineRule="auto"/>
        <w:ind w:left="720" w:right="1418" w:firstLine="720"/>
        <w:jc w:val="both"/>
        <w:rPr>
          <w:rFonts w:ascii="Arial" w:hAnsi="Arial"/>
          <w:b/>
          <w:bCs/>
          <w:noProof w:val="0"/>
          <w:rtl/>
        </w:rPr>
      </w:pPr>
    </w:p>
    <w:p w:rsidR="00A57DDA" w:rsidRDefault="00A57DDA" w:rsidP="00A57DDA">
      <w:pPr>
        <w:spacing w:line="360" w:lineRule="auto"/>
        <w:ind w:left="2160"/>
        <w:jc w:val="both"/>
        <w:rPr>
          <w:rFonts w:ascii="Arial" w:hAnsi="Arial"/>
          <w:b/>
          <w:bCs/>
          <w:noProof w:val="0"/>
          <w:rtl/>
        </w:rPr>
      </w:pPr>
      <w:r>
        <w:rPr>
          <w:rFonts w:ascii="Arial" w:hAnsi="Arial"/>
          <w:b/>
          <w:bCs/>
          <w:noProof w:val="0"/>
          <w:rtl/>
        </w:rPr>
        <w:t>"מאידך גיסא, ברור שאין עצימת עיניים שקולה כנגד תום לב.  כלומר, אם אין אדם יורד לשטח מתוך ידיעה שעל ידי כך יטעין הוא את עצמו במידע שישלול את תום לבו, בדיעבד הריהו עוצם את עיניו".</w:t>
      </w:r>
    </w:p>
    <w:p w:rsidR="00A57DDA" w:rsidRDefault="00A57DDA" w:rsidP="00A57DDA">
      <w:pPr>
        <w:spacing w:line="360" w:lineRule="auto"/>
        <w:ind w:left="720" w:hanging="720"/>
        <w:rPr>
          <w:rFonts w:ascii="Arial" w:hAnsi="Arial"/>
          <w:b/>
          <w:bCs/>
          <w:noProof w:val="0"/>
          <w:rtl/>
        </w:rPr>
      </w:pPr>
    </w:p>
    <w:p w:rsidR="00A57DDA" w:rsidRDefault="00A57DDA" w:rsidP="00A57DDA">
      <w:pPr>
        <w:spacing w:line="360" w:lineRule="auto"/>
        <w:ind w:left="1440"/>
        <w:jc w:val="both"/>
        <w:rPr>
          <w:rFonts w:ascii="Arial" w:hAnsi="Arial"/>
          <w:b/>
          <w:bCs/>
          <w:noProof w:val="0"/>
          <w:rtl/>
        </w:rPr>
      </w:pPr>
      <w:r>
        <w:rPr>
          <w:rFonts w:ascii="Arial" w:hAnsi="Arial"/>
          <w:b/>
          <w:bCs/>
          <w:noProof w:val="0"/>
          <w:rtl/>
        </w:rPr>
        <w:t>אמור מעתה, כי העובדה שהנתבע, כי טענתו, עצם עיניו בחוזקה, ולנוחותו, מלברר דבר קיומה של הצוואה, או לתהות דבר הבעלות בידרה, הופכת אותו לכזה החסר תום לב.</w:t>
      </w:r>
    </w:p>
    <w:p w:rsidR="00A57DDA" w:rsidRDefault="00A57DDA" w:rsidP="00A57DDA">
      <w:pPr>
        <w:spacing w:line="360" w:lineRule="auto"/>
        <w:ind w:left="1440" w:right="851" w:hanging="720"/>
        <w:jc w:val="both"/>
        <w:rPr>
          <w:rFonts w:ascii="Arial" w:hAnsi="Arial"/>
          <w:b/>
          <w:bCs/>
          <w:noProof w:val="0"/>
          <w:rtl/>
        </w:rPr>
      </w:pPr>
    </w:p>
    <w:p w:rsidR="00A57DDA" w:rsidRDefault="00A57DDA" w:rsidP="00A57DDA">
      <w:pPr>
        <w:spacing w:line="360" w:lineRule="auto"/>
        <w:ind w:left="1440"/>
        <w:jc w:val="both"/>
        <w:rPr>
          <w:rFonts w:ascii="Arial" w:hAnsi="Arial"/>
          <w:b/>
          <w:bCs/>
          <w:noProof w:val="0"/>
          <w:rtl/>
        </w:rPr>
      </w:pPr>
      <w:r>
        <w:rPr>
          <w:rFonts w:ascii="Arial" w:hAnsi="Arial"/>
          <w:b/>
          <w:bCs/>
          <w:noProof w:val="0"/>
          <w:rtl/>
        </w:rPr>
        <w:t>אגב ע"א 318/8 אגוזי שפע בע"מ (בפירוק מרצון) נ' שיבר, פ"ד לט(4)332, קבע ביהמ"ש העליון כך:</w:t>
      </w:r>
    </w:p>
    <w:p w:rsidR="00A57DDA" w:rsidRDefault="00A57DDA" w:rsidP="00A57DDA">
      <w:pPr>
        <w:spacing w:line="360" w:lineRule="auto"/>
        <w:ind w:left="2160" w:right="1701"/>
        <w:jc w:val="both"/>
        <w:rPr>
          <w:rFonts w:ascii="Arial" w:hAnsi="Arial"/>
          <w:b/>
          <w:bCs/>
          <w:noProof w:val="0"/>
          <w:rtl/>
        </w:rPr>
      </w:pPr>
    </w:p>
    <w:p w:rsidR="00A57DDA" w:rsidRDefault="00A57DDA" w:rsidP="00A57DDA">
      <w:pPr>
        <w:spacing w:line="360" w:lineRule="auto"/>
        <w:ind w:left="2160"/>
        <w:jc w:val="both"/>
        <w:rPr>
          <w:rFonts w:ascii="Arial" w:hAnsi="Arial"/>
          <w:b/>
          <w:bCs/>
          <w:noProof w:val="0"/>
          <w:rtl/>
        </w:rPr>
      </w:pPr>
      <w:r>
        <w:rPr>
          <w:rFonts w:ascii="Arial" w:hAnsi="Arial"/>
          <w:b/>
          <w:bCs/>
          <w:noProof w:val="0"/>
          <w:rtl/>
        </w:rPr>
        <w:t>"נכון הדבר, ש"עצימת עיניים" עשויה לשלול תום-לב, אולם כדי להוביל למסקנה זו צריך הטוען להוכיח, כי "עוצם העיניים" עשה כן בשל החשש, שבעיניים פקוחות ילמד עובדות שעשויות להיות להן השלכות שליליות לגבי זכויותיו" (ההדגשה שלי, א.ש.).</w:t>
      </w:r>
    </w:p>
    <w:p w:rsidR="00A57DDA" w:rsidRDefault="00A57DDA" w:rsidP="00A57DDA">
      <w:pPr>
        <w:spacing w:line="360" w:lineRule="auto"/>
        <w:ind w:left="1440" w:right="851"/>
        <w:jc w:val="both"/>
        <w:rPr>
          <w:rFonts w:ascii="Arial" w:hAnsi="Arial"/>
          <w:b/>
          <w:bCs/>
          <w:noProof w:val="0"/>
          <w:rtl/>
        </w:rPr>
      </w:pPr>
    </w:p>
    <w:p w:rsidR="00A57DDA" w:rsidRDefault="00A57DDA" w:rsidP="00A57DDA">
      <w:pPr>
        <w:spacing w:line="360" w:lineRule="auto"/>
        <w:ind w:left="1440"/>
        <w:jc w:val="both"/>
        <w:rPr>
          <w:rFonts w:ascii="Arial" w:hAnsi="Arial"/>
          <w:b/>
          <w:bCs/>
          <w:noProof w:val="0"/>
          <w:rtl/>
        </w:rPr>
      </w:pPr>
      <w:r>
        <w:rPr>
          <w:rFonts w:ascii="Arial" w:hAnsi="Arial"/>
          <w:b/>
          <w:bCs/>
          <w:noProof w:val="0"/>
          <w:rtl/>
        </w:rPr>
        <w:t>אמר ביהמ"ש העליון, אגב 109/87 חוות מקורה בעמ' נ' עלי יונס חסן, פ"ד מז(5)1, כי יש להבחין בין דרגה נמוכה של רשלנות לדרגה חמורה יותר המכונה "עצימת עיניים מכוונת".</w:t>
      </w:r>
    </w:p>
    <w:p w:rsidR="00A57DDA" w:rsidRDefault="00A57DDA" w:rsidP="00A57DDA">
      <w:pPr>
        <w:spacing w:line="360" w:lineRule="auto"/>
        <w:ind w:left="1440"/>
        <w:jc w:val="both"/>
        <w:rPr>
          <w:rFonts w:ascii="Arial" w:hAnsi="Arial"/>
          <w:b/>
          <w:bCs/>
          <w:noProof w:val="0"/>
          <w:rtl/>
        </w:rPr>
      </w:pPr>
      <w:r>
        <w:rPr>
          <w:rFonts w:ascii="Arial" w:hAnsi="Arial"/>
          <w:b/>
          <w:bCs/>
          <w:noProof w:val="0"/>
          <w:rtl/>
        </w:rPr>
        <w:lastRenderedPageBreak/>
        <w:t>המעיין באותה הלכה ילמד כי ההימנעות מבדיקה, כשלעצמה, יכול ואינה אלא רשלנות ואולם בהינתן דבר מה נוסף עסקינן בעצימת עיניים מכוונת.</w:t>
      </w:r>
    </w:p>
    <w:p w:rsidR="00A57DDA" w:rsidRDefault="00A57DDA" w:rsidP="00A57DDA">
      <w:pPr>
        <w:spacing w:line="360" w:lineRule="auto"/>
        <w:ind w:left="1440"/>
        <w:jc w:val="both"/>
        <w:rPr>
          <w:rFonts w:ascii="Arial" w:hAnsi="Arial"/>
          <w:b/>
          <w:bCs/>
          <w:noProof w:val="0"/>
          <w:rtl/>
        </w:rPr>
      </w:pPr>
      <w:r>
        <w:rPr>
          <w:rFonts w:ascii="Arial" w:hAnsi="Arial"/>
          <w:b/>
          <w:bCs/>
          <w:noProof w:val="0"/>
          <w:rtl/>
        </w:rPr>
        <w:t>הכלל הוא, כפסיקת ביהמ"ש העליון דשם, כי את העוצם עיניו במתכוון מלראות את האמת, אפילו רק מתוך הלך נפש של היעדר-איכפתיות (שלא לדבר על מעשה מכוון), רואים כמי שפעל בחוסר תום לב.</w:t>
      </w:r>
    </w:p>
    <w:p w:rsidR="00A57DDA" w:rsidRDefault="00A57DDA" w:rsidP="00A57DDA">
      <w:pPr>
        <w:spacing w:line="360" w:lineRule="auto"/>
        <w:ind w:left="1440" w:hanging="720"/>
        <w:jc w:val="both"/>
        <w:rPr>
          <w:rFonts w:ascii="Arial" w:hAnsi="Arial"/>
          <w:b/>
          <w:bCs/>
          <w:noProof w:val="0"/>
          <w:rtl/>
        </w:rPr>
      </w:pPr>
    </w:p>
    <w:p w:rsidR="00A57DDA" w:rsidRDefault="00A57DDA" w:rsidP="00A57DDA">
      <w:pPr>
        <w:spacing w:line="360" w:lineRule="auto"/>
        <w:ind w:left="1440"/>
        <w:jc w:val="both"/>
        <w:rPr>
          <w:rFonts w:ascii="Arial" w:hAnsi="Arial"/>
          <w:b/>
          <w:bCs/>
          <w:noProof w:val="0"/>
          <w:rtl/>
        </w:rPr>
      </w:pPr>
      <w:r>
        <w:rPr>
          <w:rFonts w:ascii="Arial" w:hAnsi="Arial"/>
          <w:b/>
          <w:bCs/>
          <w:noProof w:val="0"/>
          <w:rtl/>
        </w:rPr>
        <w:t>אם נביט בהלכת ע"א 4609/99 בעלי מקצוע נכסים (1992) בע"מ נ' סונדרס, פ"ד נו(6) 832, נמצא שם אמירה שזו לשונה:</w:t>
      </w:r>
    </w:p>
    <w:p w:rsidR="00A57DDA" w:rsidRDefault="00A57DDA" w:rsidP="00A57DDA">
      <w:pPr>
        <w:spacing w:line="360" w:lineRule="auto"/>
        <w:ind w:left="2160"/>
        <w:rPr>
          <w:rFonts w:ascii="Arial" w:hAnsi="Arial"/>
          <w:b/>
          <w:bCs/>
          <w:noProof w:val="0"/>
          <w:rtl/>
        </w:rPr>
      </w:pPr>
      <w:r>
        <w:rPr>
          <w:rFonts w:ascii="Arial" w:hAnsi="Arial"/>
          <w:b/>
          <w:bCs/>
          <w:noProof w:val="0"/>
          <w:rtl/>
        </w:rPr>
        <w:t>"הגישה הבסיסית לגבי טיבו של תום הלב בהקשר הנדון מצאה ביטוי בע"א 842/79 נס נ' גולדה [4], בעמ' 212-213, מפי השופט ד' לוין:</w:t>
      </w:r>
    </w:p>
    <w:p w:rsidR="00A57DDA" w:rsidRDefault="00A57DDA" w:rsidP="00A57DDA">
      <w:pPr>
        <w:spacing w:line="360" w:lineRule="auto"/>
        <w:ind w:left="2880"/>
        <w:jc w:val="both"/>
        <w:rPr>
          <w:rFonts w:ascii="Arial" w:hAnsi="Arial"/>
          <w:b/>
          <w:bCs/>
          <w:noProof w:val="0"/>
          <w:rtl/>
        </w:rPr>
      </w:pPr>
      <w:r>
        <w:rPr>
          <w:rFonts w:ascii="Arial" w:hAnsi="Arial"/>
          <w:b/>
          <w:bCs/>
          <w:noProof w:val="0"/>
          <w:rtl/>
        </w:rPr>
        <w:t>"באמרנו 'תום-לב', לעניין זה, די בכך שאותו צד ג' נהג באותה עסקה ובהתקשרותו החוזית ביושר ובאמונה – ולא בערמה או עצימת עיניים מלראות עובדות גלויות לעין, העשויות להעמידו על המשמר.  אין דורשים ממנו לחקור ולדרוש בנסתר, שמא כך יחשוף ויגלה עובדות חשובות, המשנות פני הדברים ושאינן על פני השטח.  לא נדרשת ממנו 'מידת חסידות' ".</w:t>
      </w:r>
    </w:p>
    <w:p w:rsidR="00A57DDA" w:rsidRDefault="00A57DDA" w:rsidP="00A57DDA">
      <w:pPr>
        <w:spacing w:line="360" w:lineRule="auto"/>
        <w:ind w:left="1440"/>
        <w:jc w:val="both"/>
        <w:rPr>
          <w:rFonts w:ascii="Arial" w:hAnsi="Arial"/>
          <w:b/>
          <w:bCs/>
          <w:noProof w:val="0"/>
          <w:rtl/>
        </w:rPr>
      </w:pPr>
    </w:p>
    <w:p w:rsidR="00A57DDA" w:rsidRDefault="00A57DDA" w:rsidP="00A57DDA">
      <w:pPr>
        <w:spacing w:line="360" w:lineRule="auto"/>
        <w:ind w:left="1440"/>
        <w:jc w:val="both"/>
        <w:rPr>
          <w:rFonts w:ascii="Arial" w:hAnsi="Arial"/>
          <w:b/>
          <w:bCs/>
          <w:noProof w:val="0"/>
          <w:rtl/>
        </w:rPr>
      </w:pPr>
      <w:r>
        <w:rPr>
          <w:rFonts w:ascii="Arial" w:hAnsi="Arial"/>
          <w:b/>
          <w:bCs/>
          <w:noProof w:val="0"/>
          <w:rtl/>
        </w:rPr>
        <w:t>ברוח זו ראה עוד מ' דויטש, קניין (כרך א), בעמ' 125 והשווה גם ע"א 318'83 אגוזי שפע בע"מ (בפירוק מרצון) נ' שיבר [5], בעמ' 329.  בעקבות הפסיקה של בית משפט זה סיכום בית-המשפט המחוזי, בפיו של סגן הנשיא א' גורן, בה"פ (ת"א) 252/93 בנק איגוד לישראל בע"מ סניף פתח תקוה נ' סולמי את ההלכה בנוגע לטיבו של תום-הלב בדברים הקולעים האלה:</w:t>
      </w:r>
    </w:p>
    <w:p w:rsidR="00A57DDA" w:rsidRDefault="00A57DDA" w:rsidP="00A57DDA">
      <w:pPr>
        <w:spacing w:line="360" w:lineRule="auto"/>
        <w:ind w:left="2160"/>
        <w:jc w:val="both"/>
        <w:rPr>
          <w:rFonts w:ascii="Arial" w:hAnsi="Arial"/>
          <w:b/>
          <w:bCs/>
          <w:noProof w:val="0"/>
          <w:rtl/>
        </w:rPr>
      </w:pPr>
      <w:r>
        <w:rPr>
          <w:rFonts w:ascii="Arial" w:hAnsi="Arial"/>
          <w:b/>
          <w:bCs/>
          <w:noProof w:val="0"/>
          <w:rtl/>
        </w:rPr>
        <w:t>"אם כן, מידת תום הלב אותה נדרש המסתמך על סעיף 10 היא גבוהה.  ברגע שהדלקת 'נורה אדומה' בראשו של הרוכש עקב סיבות הענין או פרטים שונים שהוא מגלה במהלך בדיקתו, הוא לא ייחשב תם לב בלא בדיקה ראויה של מצב הזכויות של הוכר.  בעצומת צלצולי פעמון האזהרה כן עוצמת הבדיקה הנדרשת".</w:t>
      </w:r>
    </w:p>
    <w:p w:rsidR="00A57DDA" w:rsidRPr="003B6350" w:rsidRDefault="00A57DDA" w:rsidP="00A57DDA">
      <w:pPr>
        <w:spacing w:line="360" w:lineRule="auto"/>
        <w:ind w:firstLine="360"/>
        <w:jc w:val="both"/>
        <w:rPr>
          <w:rFonts w:ascii="Arial" w:hAnsi="Arial"/>
          <w:noProof w:val="0"/>
          <w:rtl/>
        </w:rPr>
      </w:pPr>
      <w:r w:rsidRPr="003B6350">
        <w:rPr>
          <w:rFonts w:ascii="Arial" w:hAnsi="Arial" w:hint="cs"/>
          <w:noProof w:val="0"/>
          <w:rtl/>
        </w:rPr>
        <w:t xml:space="preserve">(ראה: תמ"ש (ת"א) 14360-08-11 </w:t>
      </w:r>
      <w:r w:rsidRPr="003B6350">
        <w:rPr>
          <w:rFonts w:ascii="Arial" w:hAnsi="Arial" w:hint="cs"/>
          <w:b/>
          <w:bCs/>
          <w:noProof w:val="0"/>
          <w:rtl/>
        </w:rPr>
        <w:t>ס. ס. נ' א. ב. ל.</w:t>
      </w:r>
      <w:r w:rsidRPr="003B6350">
        <w:rPr>
          <w:rFonts w:ascii="Arial" w:hAnsi="Arial" w:hint="cs"/>
          <w:noProof w:val="0"/>
          <w:rtl/>
        </w:rPr>
        <w:t xml:space="preserve"> {פמ"מ </w:t>
      </w:r>
      <w:r w:rsidRPr="003B6350">
        <w:rPr>
          <w:rFonts w:ascii="Arial" w:hAnsi="Arial"/>
          <w:noProof w:val="0"/>
          <w:rtl/>
        </w:rPr>
        <w:t>–</w:t>
      </w:r>
      <w:r w:rsidRPr="003B6350">
        <w:rPr>
          <w:rFonts w:ascii="Arial" w:hAnsi="Arial" w:hint="cs"/>
          <w:noProof w:val="0"/>
          <w:rtl/>
        </w:rPr>
        <w:t xml:space="preserve"> 03.09.2013}).</w:t>
      </w:r>
    </w:p>
    <w:p w:rsidR="00A57DDA" w:rsidRPr="00DA0D9F" w:rsidRDefault="00A57DDA" w:rsidP="00A57DDA">
      <w:pPr>
        <w:pStyle w:val="af1"/>
        <w:rPr>
          <w:rFonts w:ascii="Arial" w:hAnsi="Arial"/>
          <w:noProof w:val="0"/>
          <w:rtl/>
        </w:rPr>
      </w:pPr>
    </w:p>
    <w:p w:rsidR="00A57DDA" w:rsidRPr="003B6350" w:rsidRDefault="00A57DDA" w:rsidP="00A57DDA">
      <w:pPr>
        <w:pStyle w:val="af1"/>
        <w:numPr>
          <w:ilvl w:val="0"/>
          <w:numId w:val="1"/>
        </w:numPr>
        <w:spacing w:line="360" w:lineRule="auto"/>
        <w:jc w:val="both"/>
        <w:rPr>
          <w:rFonts w:ascii="Arial" w:hAnsi="Arial"/>
          <w:noProof w:val="0"/>
        </w:rPr>
      </w:pPr>
      <w:r w:rsidRPr="00FD2AF2">
        <w:rPr>
          <w:rFonts w:ascii="Arial" w:hAnsi="Arial" w:hint="cs"/>
          <w:noProof w:val="0"/>
          <w:rtl/>
        </w:rPr>
        <w:t>נתקדם ונסביר לעניין גמירות דעת</w:t>
      </w:r>
      <w:r>
        <w:rPr>
          <w:rFonts w:ascii="Arial" w:hAnsi="Arial" w:hint="cs"/>
          <w:noProof w:val="0"/>
          <w:rtl/>
        </w:rPr>
        <w:t xml:space="preserve">, כי </w:t>
      </w:r>
      <w:r w:rsidRPr="00FD2AF2">
        <w:rPr>
          <w:rFonts w:ascii="Arial" w:hAnsi="Arial"/>
          <w:noProof w:val="0"/>
          <w:rtl/>
        </w:rPr>
        <w:t>נורמה משפטית ראויה תזהיר כל בן משפחה או אפוטרופוס</w:t>
      </w:r>
      <w:r>
        <w:rPr>
          <w:rFonts w:ascii="Arial" w:hAnsi="Arial" w:hint="cs"/>
          <w:noProof w:val="0"/>
          <w:rtl/>
        </w:rPr>
        <w:t>,</w:t>
      </w:r>
      <w:r w:rsidRPr="00FD2AF2">
        <w:rPr>
          <w:rFonts w:ascii="Arial" w:hAnsi="Arial"/>
          <w:noProof w:val="0"/>
          <w:rtl/>
        </w:rPr>
        <w:t xml:space="preserve"> כי עת ניגש הוא ליטול מרכושו של ישי</w:t>
      </w:r>
      <w:r>
        <w:rPr>
          <w:rFonts w:ascii="Arial" w:hAnsi="Arial" w:hint="cs"/>
          <w:noProof w:val="0"/>
          <w:rtl/>
        </w:rPr>
        <w:t>ש,</w:t>
      </w:r>
      <w:r w:rsidRPr="00FD2AF2">
        <w:rPr>
          <w:rFonts w:ascii="Arial" w:hAnsi="Arial"/>
          <w:noProof w:val="0"/>
          <w:rtl/>
        </w:rPr>
        <w:t xml:space="preserve"> עליו לוודא ולהוכיח בשניים:</w:t>
      </w:r>
    </w:p>
    <w:p w:rsidR="00A57DDA" w:rsidRPr="00FD2AF2" w:rsidRDefault="00A57DDA" w:rsidP="00A57DDA">
      <w:pPr>
        <w:pStyle w:val="af1"/>
        <w:spacing w:line="360" w:lineRule="auto"/>
        <w:ind w:left="360"/>
        <w:jc w:val="both"/>
        <w:rPr>
          <w:rFonts w:ascii="Arial" w:hAnsi="Arial"/>
          <w:noProof w:val="0"/>
          <w:rtl/>
        </w:rPr>
      </w:pPr>
      <w:r w:rsidRPr="00FD2AF2">
        <w:rPr>
          <w:rFonts w:ascii="Arial" w:hAnsi="Arial"/>
          <w:noProof w:val="0"/>
          <w:rtl/>
        </w:rPr>
        <w:t>א.</w:t>
      </w:r>
      <w:r w:rsidRPr="00FD2AF2">
        <w:rPr>
          <w:rFonts w:ascii="Arial" w:hAnsi="Arial"/>
          <w:noProof w:val="0"/>
          <w:rtl/>
        </w:rPr>
        <w:tab/>
        <w:t>כי לנותן יהא די כדי קיומו.</w:t>
      </w:r>
    </w:p>
    <w:p w:rsidR="00A57DDA" w:rsidRPr="00FD2AF2" w:rsidRDefault="00A57DDA" w:rsidP="00A57DDA">
      <w:pPr>
        <w:pStyle w:val="af1"/>
        <w:ind w:left="360"/>
        <w:rPr>
          <w:rFonts w:ascii="Arial" w:hAnsi="Arial"/>
          <w:noProof w:val="0"/>
          <w:rtl/>
        </w:rPr>
      </w:pPr>
      <w:r w:rsidRPr="00FD2AF2">
        <w:rPr>
          <w:rFonts w:ascii="Arial" w:hAnsi="Arial"/>
          <w:noProof w:val="0"/>
          <w:rtl/>
        </w:rPr>
        <w:t>ב.</w:t>
      </w:r>
      <w:r w:rsidRPr="00FD2AF2">
        <w:rPr>
          <w:rFonts w:ascii="Arial" w:hAnsi="Arial"/>
          <w:noProof w:val="0"/>
          <w:rtl/>
        </w:rPr>
        <w:tab/>
        <w:t>כי הנותן מבין הבן היטב משמעות ותוצאות נתינתו וכי הוא במצב המסוגל לומר לאו.</w:t>
      </w:r>
    </w:p>
    <w:p w:rsidR="00A57DDA" w:rsidRDefault="00A57DDA" w:rsidP="00A57DDA">
      <w:pPr>
        <w:pStyle w:val="af1"/>
        <w:rPr>
          <w:rFonts w:ascii="Arial" w:hAnsi="Arial"/>
          <w:noProof w:val="0"/>
          <w:rtl/>
        </w:rPr>
      </w:pPr>
    </w:p>
    <w:p w:rsidR="00A57DDA" w:rsidRPr="000E4C34" w:rsidRDefault="00A57DDA" w:rsidP="00A57DDA">
      <w:pPr>
        <w:pStyle w:val="af1"/>
        <w:rPr>
          <w:rFonts w:ascii="Arial" w:hAnsi="Arial"/>
          <w:noProof w:val="0"/>
          <w:rtl/>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lastRenderedPageBreak/>
        <w:t xml:space="preserve">אשר לבטלות מתנה בשל השפעה בלתי הוגנת, הופכים תנאי עסקת מתנה לבלתי סבירים. </w:t>
      </w:r>
    </w:p>
    <w:p w:rsidR="00A57DDA" w:rsidRDefault="00A57DDA" w:rsidP="00A57DDA">
      <w:pPr>
        <w:pStyle w:val="af1"/>
        <w:spacing w:line="360" w:lineRule="auto"/>
        <w:ind w:left="360"/>
        <w:jc w:val="both"/>
        <w:rPr>
          <w:rFonts w:ascii="Arial" w:hAnsi="Arial"/>
          <w:noProof w:val="0"/>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ואימצתי מדברי אחרים, כך: </w:t>
      </w:r>
    </w:p>
    <w:p w:rsidR="00A57DDA" w:rsidRPr="00E8567F" w:rsidRDefault="00A57DDA" w:rsidP="00A57DDA">
      <w:pPr>
        <w:pStyle w:val="af1"/>
        <w:rPr>
          <w:rFonts w:ascii="Arial" w:hAnsi="Arial"/>
          <w:noProof w:val="0"/>
          <w:rtl/>
        </w:rPr>
      </w:pPr>
    </w:p>
    <w:p w:rsidR="00A57DDA" w:rsidRPr="00901746" w:rsidRDefault="00A57DDA" w:rsidP="00A57DDA">
      <w:pPr>
        <w:autoSpaceDE w:val="0"/>
        <w:autoSpaceDN w:val="0"/>
        <w:adjustRightInd w:val="0"/>
        <w:spacing w:line="360" w:lineRule="auto"/>
        <w:ind w:left="1842" w:hanging="720"/>
        <w:jc w:val="both"/>
        <w:rPr>
          <w:rFonts w:ascii="David"/>
          <w:b/>
          <w:bCs/>
          <w:i/>
          <w:iCs/>
          <w:noProof w:val="0"/>
          <w:rtl/>
        </w:rPr>
      </w:pPr>
      <w:r w:rsidRPr="00901746">
        <w:rPr>
          <w:rFonts w:ascii="David"/>
          <w:b/>
          <w:bCs/>
          <w:i/>
          <w:iCs/>
          <w:noProof w:val="0"/>
          <w:sz w:val="22"/>
          <w:szCs w:val="22"/>
          <w:rtl/>
        </w:rPr>
        <w:t>"55.5</w:t>
      </w:r>
      <w:r w:rsidRPr="00901746">
        <w:rPr>
          <w:rFonts w:asciiTheme="minorHAnsi" w:hAnsiTheme="minorHAnsi"/>
          <w:b/>
          <w:bCs/>
          <w:i/>
          <w:iCs/>
          <w:noProof w:val="0"/>
          <w:sz w:val="22"/>
          <w:szCs w:val="22"/>
          <w:rtl/>
        </w:rPr>
        <w:tab/>
      </w:r>
      <w:r w:rsidRPr="00901746">
        <w:rPr>
          <w:rFonts w:ascii="David"/>
          <w:b/>
          <w:bCs/>
          <w:i/>
          <w:iCs/>
          <w:noProof w:val="0"/>
          <w:rtl/>
        </w:rPr>
        <w:t>מטעם</w:t>
      </w:r>
      <w:r w:rsidRPr="00901746">
        <w:rPr>
          <w:rFonts w:ascii="David"/>
          <w:b/>
          <w:bCs/>
          <w:i/>
          <w:iCs/>
          <w:noProof w:val="0"/>
        </w:rPr>
        <w:t xml:space="preserve"> </w:t>
      </w:r>
      <w:r w:rsidRPr="00901746">
        <w:rPr>
          <w:rFonts w:ascii="David"/>
          <w:b/>
          <w:bCs/>
          <w:i/>
          <w:iCs/>
          <w:noProof w:val="0"/>
          <w:rtl/>
        </w:rPr>
        <w:t>זה</w:t>
      </w:r>
      <w:r w:rsidRPr="00901746">
        <w:rPr>
          <w:rFonts w:ascii="David"/>
          <w:b/>
          <w:bCs/>
          <w:i/>
          <w:iCs/>
          <w:noProof w:val="0"/>
        </w:rPr>
        <w:t xml:space="preserve"> </w:t>
      </w:r>
      <w:r w:rsidRPr="00901746">
        <w:rPr>
          <w:rFonts w:ascii="David"/>
          <w:b/>
          <w:bCs/>
          <w:i/>
          <w:iCs/>
          <w:noProof w:val="0"/>
          <w:rtl/>
        </w:rPr>
        <w:t>החלה</w:t>
      </w:r>
      <w:r w:rsidRPr="00901746">
        <w:rPr>
          <w:rFonts w:ascii="David"/>
          <w:b/>
          <w:bCs/>
          <w:i/>
          <w:iCs/>
          <w:noProof w:val="0"/>
        </w:rPr>
        <w:t xml:space="preserve"> </w:t>
      </w:r>
      <w:r w:rsidRPr="00901746">
        <w:rPr>
          <w:rFonts w:ascii="David"/>
          <w:b/>
          <w:bCs/>
          <w:i/>
          <w:iCs/>
          <w:noProof w:val="0"/>
          <w:rtl/>
        </w:rPr>
        <w:t>להתגבש</w:t>
      </w:r>
      <w:r w:rsidRPr="00901746">
        <w:rPr>
          <w:rFonts w:ascii="David"/>
          <w:b/>
          <w:bCs/>
          <w:i/>
          <w:iCs/>
          <w:noProof w:val="0"/>
        </w:rPr>
        <w:t xml:space="preserve"> </w:t>
      </w:r>
      <w:r w:rsidRPr="00901746">
        <w:rPr>
          <w:rFonts w:ascii="David"/>
          <w:b/>
          <w:bCs/>
          <w:i/>
          <w:iCs/>
          <w:noProof w:val="0"/>
          <w:rtl/>
        </w:rPr>
        <w:t>בפסיקה</w:t>
      </w:r>
      <w:r w:rsidRPr="00901746">
        <w:rPr>
          <w:rFonts w:ascii="David"/>
          <w:b/>
          <w:bCs/>
          <w:i/>
          <w:iCs/>
          <w:noProof w:val="0"/>
        </w:rPr>
        <w:t xml:space="preserve"> </w:t>
      </w:r>
      <w:r w:rsidRPr="00901746">
        <w:rPr>
          <w:rFonts w:ascii="David"/>
          <w:b/>
          <w:bCs/>
          <w:i/>
          <w:iCs/>
          <w:noProof w:val="0"/>
          <w:rtl/>
        </w:rPr>
        <w:t>ההכרה</w:t>
      </w:r>
      <w:r w:rsidRPr="00901746">
        <w:rPr>
          <w:rFonts w:ascii="David"/>
          <w:b/>
          <w:bCs/>
          <w:i/>
          <w:iCs/>
          <w:noProof w:val="0"/>
        </w:rPr>
        <w:t xml:space="preserve"> </w:t>
      </w:r>
      <w:r w:rsidRPr="00901746">
        <w:rPr>
          <w:rFonts w:ascii="David"/>
          <w:b/>
          <w:bCs/>
          <w:i/>
          <w:iCs/>
          <w:noProof w:val="0"/>
          <w:rtl/>
        </w:rPr>
        <w:t>כי</w:t>
      </w:r>
      <w:r w:rsidRPr="00901746">
        <w:rPr>
          <w:rFonts w:ascii="David"/>
          <w:b/>
          <w:bCs/>
          <w:i/>
          <w:iCs/>
          <w:noProof w:val="0"/>
        </w:rPr>
        <w:t xml:space="preserve"> </w:t>
      </w:r>
      <w:r w:rsidRPr="00901746">
        <w:rPr>
          <w:rFonts w:ascii="David"/>
          <w:b/>
          <w:bCs/>
          <w:i/>
          <w:iCs/>
          <w:noProof w:val="0"/>
          <w:rtl/>
        </w:rPr>
        <w:t>יש</w:t>
      </w:r>
      <w:r w:rsidRPr="00901746">
        <w:rPr>
          <w:rFonts w:ascii="David"/>
          <w:b/>
          <w:bCs/>
          <w:i/>
          <w:iCs/>
          <w:noProof w:val="0"/>
        </w:rPr>
        <w:t xml:space="preserve"> </w:t>
      </w:r>
      <w:r w:rsidRPr="00901746">
        <w:rPr>
          <w:rFonts w:ascii="David"/>
          <w:b/>
          <w:bCs/>
          <w:i/>
          <w:iCs/>
          <w:noProof w:val="0"/>
          <w:rtl/>
        </w:rPr>
        <w:t>להחיל</w:t>
      </w:r>
      <w:r w:rsidRPr="00901746">
        <w:rPr>
          <w:rFonts w:ascii="David"/>
          <w:b/>
          <w:bCs/>
          <w:i/>
          <w:iCs/>
          <w:noProof w:val="0"/>
        </w:rPr>
        <w:t xml:space="preserve"> </w:t>
      </w:r>
      <w:r w:rsidRPr="00901746">
        <w:rPr>
          <w:rFonts w:ascii="David"/>
          <w:b/>
          <w:bCs/>
          <w:i/>
          <w:iCs/>
          <w:noProof w:val="0"/>
          <w:rtl/>
        </w:rPr>
        <w:t>את דיני</w:t>
      </w:r>
      <w:r w:rsidRPr="00901746">
        <w:rPr>
          <w:rFonts w:ascii="David"/>
          <w:b/>
          <w:bCs/>
          <w:i/>
          <w:iCs/>
          <w:noProof w:val="0"/>
        </w:rPr>
        <w:t xml:space="preserve"> </w:t>
      </w:r>
      <w:r w:rsidRPr="00901746">
        <w:rPr>
          <w:rFonts w:ascii="David"/>
          <w:b/>
          <w:bCs/>
          <w:i/>
          <w:iCs/>
          <w:noProof w:val="0"/>
          <w:rtl/>
        </w:rPr>
        <w:t>ההשפעה</w:t>
      </w:r>
      <w:r w:rsidRPr="00901746">
        <w:rPr>
          <w:rFonts w:ascii="David"/>
          <w:b/>
          <w:bCs/>
          <w:i/>
          <w:iCs/>
          <w:noProof w:val="0"/>
        </w:rPr>
        <w:t xml:space="preserve"> </w:t>
      </w:r>
      <w:r w:rsidRPr="00901746">
        <w:rPr>
          <w:rFonts w:ascii="David"/>
          <w:b/>
          <w:bCs/>
          <w:i/>
          <w:iCs/>
          <w:noProof w:val="0"/>
          <w:rtl/>
        </w:rPr>
        <w:t>הבלתי</w:t>
      </w:r>
      <w:r w:rsidRPr="00901746">
        <w:rPr>
          <w:rFonts w:ascii="David"/>
          <w:b/>
          <w:bCs/>
          <w:i/>
          <w:iCs/>
          <w:noProof w:val="0"/>
        </w:rPr>
        <w:t xml:space="preserve"> </w:t>
      </w:r>
      <w:r w:rsidRPr="00901746">
        <w:rPr>
          <w:rFonts w:ascii="David"/>
          <w:b/>
          <w:bCs/>
          <w:i/>
          <w:iCs/>
          <w:noProof w:val="0"/>
          <w:rtl/>
        </w:rPr>
        <w:t>הוגנת</w:t>
      </w:r>
      <w:r w:rsidRPr="00901746">
        <w:rPr>
          <w:rFonts w:ascii="David"/>
          <w:b/>
          <w:bCs/>
          <w:i/>
          <w:iCs/>
          <w:noProof w:val="0"/>
        </w:rPr>
        <w:t xml:space="preserve"> </w:t>
      </w:r>
      <w:r w:rsidRPr="00901746">
        <w:rPr>
          <w:rFonts w:ascii="David"/>
          <w:b/>
          <w:bCs/>
          <w:i/>
          <w:iCs/>
          <w:noProof w:val="0"/>
          <w:rtl/>
        </w:rPr>
        <w:t>על</w:t>
      </w:r>
      <w:r w:rsidRPr="00901746">
        <w:rPr>
          <w:rFonts w:ascii="David"/>
          <w:b/>
          <w:bCs/>
          <w:i/>
          <w:iCs/>
          <w:noProof w:val="0"/>
        </w:rPr>
        <w:t xml:space="preserve"> </w:t>
      </w:r>
      <w:r w:rsidRPr="00901746">
        <w:rPr>
          <w:rFonts w:ascii="David"/>
          <w:b/>
          <w:bCs/>
          <w:i/>
          <w:iCs/>
          <w:noProof w:val="0"/>
          <w:rtl/>
        </w:rPr>
        <w:t>דיני</w:t>
      </w:r>
      <w:r w:rsidRPr="00901746">
        <w:rPr>
          <w:rFonts w:ascii="David"/>
          <w:b/>
          <w:bCs/>
          <w:i/>
          <w:iCs/>
          <w:noProof w:val="0"/>
        </w:rPr>
        <w:t xml:space="preserve"> </w:t>
      </w:r>
      <w:r w:rsidRPr="00901746">
        <w:rPr>
          <w:rFonts w:ascii="David"/>
          <w:b/>
          <w:bCs/>
          <w:i/>
          <w:iCs/>
          <w:noProof w:val="0"/>
          <w:rtl/>
        </w:rPr>
        <w:t>המתנה</w:t>
      </w:r>
      <w:r w:rsidRPr="00901746">
        <w:rPr>
          <w:rFonts w:ascii="David"/>
          <w:b/>
          <w:bCs/>
          <w:i/>
          <w:iCs/>
          <w:noProof w:val="0"/>
        </w:rPr>
        <w:t xml:space="preserve"> </w:t>
      </w:r>
      <w:r w:rsidRPr="00901746">
        <w:rPr>
          <w:rFonts w:asciiTheme="minorHAnsi" w:hAnsiTheme="minorHAnsi"/>
          <w:b/>
          <w:bCs/>
          <w:i/>
          <w:iCs/>
          <w:noProof w:val="0"/>
        </w:rPr>
        <w:t xml:space="preserve"> </w:t>
      </w:r>
      <w:r w:rsidRPr="00901746">
        <w:rPr>
          <w:rFonts w:ascii="David"/>
          <w:b/>
          <w:bCs/>
          <w:i/>
          <w:iCs/>
          <w:noProof w:val="0"/>
          <w:rtl/>
        </w:rPr>
        <w:t>אומרים</w:t>
      </w:r>
      <w:r w:rsidRPr="00901746">
        <w:rPr>
          <w:rFonts w:ascii="David"/>
          <w:b/>
          <w:bCs/>
          <w:i/>
          <w:iCs/>
          <w:noProof w:val="0"/>
        </w:rPr>
        <w:t xml:space="preserve"> </w:t>
      </w:r>
      <w:r w:rsidRPr="00901746">
        <w:rPr>
          <w:rFonts w:ascii="David"/>
          <w:b/>
          <w:bCs/>
          <w:i/>
          <w:iCs/>
          <w:noProof w:val="0"/>
          <w:rtl/>
        </w:rPr>
        <w:t>על</w:t>
      </w:r>
      <w:r w:rsidRPr="00901746">
        <w:rPr>
          <w:rFonts w:ascii="David"/>
          <w:b/>
          <w:bCs/>
          <w:i/>
          <w:iCs/>
          <w:noProof w:val="0"/>
        </w:rPr>
        <w:t xml:space="preserve"> </w:t>
      </w:r>
      <w:r w:rsidRPr="00901746">
        <w:rPr>
          <w:rFonts w:ascii="David"/>
          <w:b/>
          <w:bCs/>
          <w:i/>
          <w:iCs/>
          <w:noProof w:val="0"/>
          <w:rtl/>
        </w:rPr>
        <w:t>כך המלומדים</w:t>
      </w:r>
      <w:r w:rsidRPr="00901746">
        <w:rPr>
          <w:rFonts w:ascii="David"/>
          <w:b/>
          <w:bCs/>
          <w:i/>
          <w:iCs/>
          <w:noProof w:val="0"/>
        </w:rPr>
        <w:t xml:space="preserve"> </w:t>
      </w:r>
      <w:r w:rsidRPr="00901746">
        <w:rPr>
          <w:rFonts w:ascii="David"/>
          <w:b/>
          <w:bCs/>
          <w:i/>
          <w:iCs/>
          <w:noProof w:val="0"/>
          <w:rtl/>
        </w:rPr>
        <w:t>פרידמן</w:t>
      </w:r>
      <w:r w:rsidRPr="00901746">
        <w:rPr>
          <w:rFonts w:ascii="David"/>
          <w:b/>
          <w:bCs/>
          <w:i/>
          <w:iCs/>
          <w:noProof w:val="0"/>
        </w:rPr>
        <w:t xml:space="preserve"> </w:t>
      </w:r>
      <w:r w:rsidRPr="00901746">
        <w:rPr>
          <w:rFonts w:ascii="David"/>
          <w:b/>
          <w:bCs/>
          <w:i/>
          <w:iCs/>
          <w:noProof w:val="0"/>
          <w:rtl/>
        </w:rPr>
        <w:t>וכהן</w:t>
      </w:r>
      <w:r w:rsidRPr="00901746">
        <w:rPr>
          <w:rFonts w:ascii="David"/>
          <w:b/>
          <w:bCs/>
          <w:i/>
          <w:iCs/>
          <w:noProof w:val="0"/>
        </w:rPr>
        <w:t xml:space="preserve"> </w:t>
      </w:r>
      <w:r w:rsidRPr="00901746">
        <w:rPr>
          <w:rFonts w:ascii="David"/>
          <w:b/>
          <w:bCs/>
          <w:i/>
          <w:iCs/>
          <w:noProof w:val="0"/>
          <w:rtl/>
        </w:rPr>
        <w:t>את</w:t>
      </w:r>
      <w:r w:rsidRPr="00901746">
        <w:rPr>
          <w:rFonts w:ascii="David"/>
          <w:b/>
          <w:bCs/>
          <w:i/>
          <w:iCs/>
          <w:noProof w:val="0"/>
        </w:rPr>
        <w:t xml:space="preserve"> </w:t>
      </w:r>
      <w:r w:rsidRPr="00901746">
        <w:rPr>
          <w:rFonts w:ascii="David"/>
          <w:b/>
          <w:bCs/>
          <w:i/>
          <w:iCs/>
          <w:noProof w:val="0"/>
          <w:rtl/>
        </w:rPr>
        <w:t>הדברים</w:t>
      </w:r>
      <w:r w:rsidRPr="00901746">
        <w:rPr>
          <w:rFonts w:ascii="David"/>
          <w:b/>
          <w:bCs/>
          <w:i/>
          <w:iCs/>
          <w:noProof w:val="0"/>
        </w:rPr>
        <w:t xml:space="preserve"> </w:t>
      </w:r>
      <w:r w:rsidRPr="00901746">
        <w:rPr>
          <w:rFonts w:ascii="David"/>
          <w:b/>
          <w:bCs/>
          <w:i/>
          <w:iCs/>
          <w:noProof w:val="0"/>
          <w:rtl/>
        </w:rPr>
        <w:t>הבאי</w:t>
      </w:r>
      <w:r w:rsidRPr="00901746">
        <w:rPr>
          <w:rFonts w:ascii="David" w:hint="cs"/>
          <w:b/>
          <w:bCs/>
          <w:i/>
          <w:iCs/>
          <w:noProof w:val="0"/>
          <w:rtl/>
        </w:rPr>
        <w:t>ם:</w:t>
      </w:r>
    </w:p>
    <w:p w:rsidR="00A57DDA" w:rsidRPr="00901746" w:rsidRDefault="00A57DDA" w:rsidP="00A57DDA">
      <w:pPr>
        <w:autoSpaceDE w:val="0"/>
        <w:autoSpaceDN w:val="0"/>
        <w:adjustRightInd w:val="0"/>
        <w:spacing w:line="360" w:lineRule="auto"/>
        <w:ind w:left="1842" w:right="851" w:hanging="720"/>
        <w:jc w:val="both"/>
        <w:rPr>
          <w:rFonts w:ascii="FrankRuehl"/>
          <w:b/>
          <w:bCs/>
          <w:i/>
          <w:iCs/>
          <w:noProof w:val="0"/>
        </w:rPr>
      </w:pPr>
    </w:p>
    <w:p w:rsidR="00A57DDA" w:rsidRPr="00901746" w:rsidRDefault="00A57DDA" w:rsidP="00A57DDA">
      <w:pPr>
        <w:autoSpaceDE w:val="0"/>
        <w:autoSpaceDN w:val="0"/>
        <w:adjustRightInd w:val="0"/>
        <w:spacing w:line="360" w:lineRule="auto"/>
        <w:ind w:left="2880"/>
        <w:jc w:val="both"/>
        <w:rPr>
          <w:rFonts w:ascii="FrankRuehl"/>
          <w:b/>
          <w:bCs/>
          <w:i/>
          <w:iCs/>
          <w:noProof w:val="0"/>
          <w:rtl/>
        </w:rPr>
      </w:pPr>
      <w:r w:rsidRPr="00901746">
        <w:rPr>
          <w:rFonts w:ascii="FrankRuehl"/>
          <w:b/>
          <w:bCs/>
          <w:i/>
          <w:iCs/>
          <w:noProof w:val="0"/>
          <w:rtl/>
        </w:rPr>
        <w:t>"להשקפתנו</w:t>
      </w:r>
      <w:r w:rsidRPr="00901746">
        <w:rPr>
          <w:rFonts w:ascii="FrankRuehl"/>
          <w:b/>
          <w:bCs/>
          <w:i/>
          <w:iCs/>
          <w:noProof w:val="0"/>
        </w:rPr>
        <w:t xml:space="preserve"> </w:t>
      </w:r>
      <w:r w:rsidRPr="00901746">
        <w:rPr>
          <w:rFonts w:ascii="FrankRuehl"/>
          <w:b/>
          <w:bCs/>
          <w:i/>
          <w:iCs/>
          <w:noProof w:val="0"/>
          <w:rtl/>
        </w:rPr>
        <w:t>יש</w:t>
      </w:r>
      <w:r w:rsidRPr="00901746">
        <w:rPr>
          <w:rFonts w:ascii="FrankRuehl"/>
          <w:b/>
          <w:bCs/>
          <w:i/>
          <w:iCs/>
          <w:noProof w:val="0"/>
        </w:rPr>
        <w:t xml:space="preserve"> </w:t>
      </w:r>
      <w:r w:rsidRPr="00901746">
        <w:rPr>
          <w:rFonts w:ascii="FrankRuehl"/>
          <w:b/>
          <w:bCs/>
          <w:i/>
          <w:iCs/>
          <w:noProof w:val="0"/>
          <w:rtl/>
        </w:rPr>
        <w:t>להחיל</w:t>
      </w:r>
      <w:r w:rsidRPr="00901746">
        <w:rPr>
          <w:rFonts w:ascii="FrankRuehl"/>
          <w:b/>
          <w:bCs/>
          <w:i/>
          <w:iCs/>
          <w:noProof w:val="0"/>
        </w:rPr>
        <w:t xml:space="preserve"> </w:t>
      </w:r>
      <w:r w:rsidRPr="00901746">
        <w:rPr>
          <w:rFonts w:ascii="FrankRuehl"/>
          <w:b/>
          <w:bCs/>
          <w:i/>
          <w:iCs/>
          <w:noProof w:val="0"/>
          <w:rtl/>
        </w:rPr>
        <w:t>בשיטה</w:t>
      </w:r>
      <w:r w:rsidRPr="00901746">
        <w:rPr>
          <w:rFonts w:ascii="FrankRuehl"/>
          <w:b/>
          <w:bCs/>
          <w:i/>
          <w:iCs/>
          <w:noProof w:val="0"/>
        </w:rPr>
        <w:t xml:space="preserve"> </w:t>
      </w:r>
      <w:r w:rsidRPr="00901746">
        <w:rPr>
          <w:rFonts w:ascii="FrankRuehl"/>
          <w:b/>
          <w:bCs/>
          <w:i/>
          <w:iCs/>
          <w:noProof w:val="0"/>
          <w:rtl/>
        </w:rPr>
        <w:t>את</w:t>
      </w:r>
      <w:r w:rsidRPr="00901746">
        <w:rPr>
          <w:rFonts w:ascii="FrankRuehl"/>
          <w:b/>
          <w:bCs/>
          <w:i/>
          <w:iCs/>
          <w:noProof w:val="0"/>
        </w:rPr>
        <w:t xml:space="preserve"> </w:t>
      </w:r>
      <w:r w:rsidRPr="00901746">
        <w:rPr>
          <w:rFonts w:ascii="FrankRuehl"/>
          <w:b/>
          <w:bCs/>
          <w:i/>
          <w:iCs/>
          <w:noProof w:val="0"/>
          <w:rtl/>
        </w:rPr>
        <w:t>דיני</w:t>
      </w:r>
      <w:r w:rsidRPr="00901746">
        <w:rPr>
          <w:rFonts w:ascii="FrankRuehl"/>
          <w:b/>
          <w:bCs/>
          <w:i/>
          <w:iCs/>
          <w:noProof w:val="0"/>
        </w:rPr>
        <w:t xml:space="preserve"> </w:t>
      </w:r>
      <w:r w:rsidRPr="00901746">
        <w:rPr>
          <w:rFonts w:ascii="FrankRuehl"/>
          <w:b/>
          <w:bCs/>
          <w:i/>
          <w:iCs/>
          <w:noProof w:val="0"/>
          <w:rtl/>
        </w:rPr>
        <w:t>ההשפעה</w:t>
      </w:r>
      <w:r w:rsidRPr="00901746">
        <w:rPr>
          <w:rFonts w:ascii="FrankRuehl"/>
          <w:b/>
          <w:bCs/>
          <w:i/>
          <w:iCs/>
          <w:noProof w:val="0"/>
        </w:rPr>
        <w:t xml:space="preserve"> </w:t>
      </w:r>
      <w:r w:rsidRPr="00901746">
        <w:rPr>
          <w:rFonts w:ascii="FrankRuehl"/>
          <w:b/>
          <w:bCs/>
          <w:i/>
          <w:iCs/>
          <w:noProof w:val="0"/>
          <w:rtl/>
        </w:rPr>
        <w:t>הבלתי</w:t>
      </w:r>
      <w:r w:rsidRPr="00901746">
        <w:rPr>
          <w:rFonts w:ascii="FrankRuehl"/>
          <w:b/>
          <w:bCs/>
          <w:i/>
          <w:iCs/>
          <w:noProof w:val="0"/>
        </w:rPr>
        <w:t xml:space="preserve"> </w:t>
      </w:r>
      <w:r w:rsidRPr="00901746">
        <w:rPr>
          <w:rFonts w:ascii="FrankRuehl"/>
          <w:b/>
          <w:bCs/>
          <w:i/>
          <w:iCs/>
          <w:noProof w:val="0"/>
          <w:rtl/>
        </w:rPr>
        <w:t>הוגנת</w:t>
      </w:r>
      <w:r w:rsidRPr="00901746">
        <w:rPr>
          <w:rFonts w:ascii="FrankRuehl"/>
          <w:b/>
          <w:bCs/>
          <w:i/>
          <w:iCs/>
          <w:noProof w:val="0"/>
        </w:rPr>
        <w:t xml:space="preserve"> </w:t>
      </w:r>
      <w:r w:rsidRPr="00901746">
        <w:rPr>
          <w:rFonts w:ascii="FrankRuehl"/>
          <w:b/>
          <w:bCs/>
          <w:i/>
          <w:iCs/>
          <w:noProof w:val="0"/>
          <w:rtl/>
        </w:rPr>
        <w:t>גם</w:t>
      </w:r>
      <w:r w:rsidRPr="00901746">
        <w:rPr>
          <w:rFonts w:ascii="FrankRuehl"/>
          <w:b/>
          <w:bCs/>
          <w:i/>
          <w:iCs/>
          <w:noProof w:val="0"/>
        </w:rPr>
        <w:t xml:space="preserve"> </w:t>
      </w:r>
      <w:r w:rsidRPr="00901746">
        <w:rPr>
          <w:rFonts w:ascii="FrankRuehl"/>
          <w:b/>
          <w:bCs/>
          <w:i/>
          <w:iCs/>
          <w:noProof w:val="0"/>
          <w:rtl/>
        </w:rPr>
        <w:t>בתחום דיני</w:t>
      </w:r>
      <w:r w:rsidRPr="00901746">
        <w:rPr>
          <w:rFonts w:ascii="FrankRuehl"/>
          <w:b/>
          <w:bCs/>
          <w:i/>
          <w:iCs/>
          <w:noProof w:val="0"/>
        </w:rPr>
        <w:t xml:space="preserve"> </w:t>
      </w:r>
      <w:r w:rsidRPr="00901746">
        <w:rPr>
          <w:rFonts w:ascii="FrankRuehl"/>
          <w:b/>
          <w:bCs/>
          <w:i/>
          <w:iCs/>
          <w:noProof w:val="0"/>
          <w:rtl/>
        </w:rPr>
        <w:t>המתנה</w:t>
      </w:r>
      <w:r w:rsidRPr="00901746">
        <w:rPr>
          <w:rFonts w:ascii="FrankRuehl"/>
          <w:b/>
          <w:bCs/>
          <w:i/>
          <w:iCs/>
          <w:noProof w:val="0"/>
        </w:rPr>
        <w:t xml:space="preserve"> </w:t>
      </w:r>
      <w:r w:rsidRPr="00901746">
        <w:rPr>
          <w:rFonts w:ascii="FrankRuehl"/>
          <w:b/>
          <w:bCs/>
          <w:i/>
          <w:iCs/>
          <w:noProof w:val="0"/>
          <w:rtl/>
        </w:rPr>
        <w:t>וזאת</w:t>
      </w:r>
      <w:r w:rsidRPr="00901746">
        <w:rPr>
          <w:rFonts w:ascii="FrankRuehl"/>
          <w:b/>
          <w:bCs/>
          <w:i/>
          <w:iCs/>
          <w:noProof w:val="0"/>
        </w:rPr>
        <w:t xml:space="preserve"> </w:t>
      </w:r>
      <w:r w:rsidRPr="00901746">
        <w:rPr>
          <w:rFonts w:ascii="FrankRuehl"/>
          <w:b/>
          <w:bCs/>
          <w:i/>
          <w:iCs/>
          <w:noProof w:val="0"/>
          <w:rtl/>
        </w:rPr>
        <w:t>מכח</w:t>
      </w:r>
      <w:r w:rsidRPr="00901746">
        <w:rPr>
          <w:rFonts w:ascii="FrankRuehl"/>
          <w:b/>
          <w:bCs/>
          <w:i/>
          <w:iCs/>
          <w:noProof w:val="0"/>
        </w:rPr>
        <w:t xml:space="preserve"> </w:t>
      </w:r>
      <w:r w:rsidRPr="00901746">
        <w:rPr>
          <w:rFonts w:ascii="FrankRuehl"/>
          <w:b/>
          <w:bCs/>
          <w:i/>
          <w:iCs/>
          <w:noProof w:val="0"/>
          <w:rtl/>
        </w:rPr>
        <w:t>אנלוגיה</w:t>
      </w:r>
      <w:r w:rsidRPr="00901746">
        <w:rPr>
          <w:rFonts w:ascii="FrankRuehl"/>
          <w:b/>
          <w:bCs/>
          <w:i/>
          <w:iCs/>
          <w:noProof w:val="0"/>
        </w:rPr>
        <w:t xml:space="preserve"> </w:t>
      </w:r>
      <w:r w:rsidRPr="00901746">
        <w:rPr>
          <w:rFonts w:ascii="FrankRuehl"/>
          <w:b/>
          <w:bCs/>
          <w:i/>
          <w:iCs/>
          <w:noProof w:val="0"/>
          <w:rtl/>
        </w:rPr>
        <w:t>לסעיף</w:t>
      </w:r>
      <w:r w:rsidRPr="00901746">
        <w:rPr>
          <w:rFonts w:ascii="FrankRuehl"/>
          <w:b/>
          <w:bCs/>
          <w:i/>
          <w:iCs/>
          <w:noProof w:val="0"/>
        </w:rPr>
        <w:t xml:space="preserve"> 30 </w:t>
      </w:r>
      <w:r w:rsidRPr="00901746">
        <w:rPr>
          <w:rFonts w:ascii="FrankRuehl"/>
          <w:b/>
          <w:bCs/>
          <w:i/>
          <w:iCs/>
          <w:noProof w:val="0"/>
          <w:rtl/>
        </w:rPr>
        <w:t>לחוק</w:t>
      </w:r>
      <w:r w:rsidRPr="00901746">
        <w:rPr>
          <w:rFonts w:ascii="FrankRuehl"/>
          <w:b/>
          <w:bCs/>
          <w:i/>
          <w:iCs/>
          <w:noProof w:val="0"/>
        </w:rPr>
        <w:t xml:space="preserve"> </w:t>
      </w:r>
      <w:r w:rsidRPr="00901746">
        <w:rPr>
          <w:rFonts w:ascii="FrankRuehl"/>
          <w:b/>
          <w:bCs/>
          <w:i/>
          <w:iCs/>
          <w:noProof w:val="0"/>
          <w:rtl/>
        </w:rPr>
        <w:t>הירושה</w:t>
      </w:r>
      <w:r w:rsidRPr="00901746">
        <w:rPr>
          <w:rFonts w:ascii="FrankRuehl"/>
          <w:b/>
          <w:bCs/>
          <w:i/>
          <w:iCs/>
          <w:noProof w:val="0"/>
        </w:rPr>
        <w:t xml:space="preserve"> </w:t>
      </w:r>
      <w:r w:rsidRPr="00901746">
        <w:rPr>
          <w:rFonts w:ascii="FrankRuehl"/>
          <w:b/>
          <w:bCs/>
          <w:i/>
          <w:iCs/>
          <w:noProof w:val="0"/>
          <w:rtl/>
        </w:rPr>
        <w:t>העוסק</w:t>
      </w:r>
      <w:r w:rsidRPr="00901746">
        <w:rPr>
          <w:rFonts w:ascii="FrankRuehl"/>
          <w:b/>
          <w:bCs/>
          <w:i/>
          <w:iCs/>
          <w:noProof w:val="0"/>
        </w:rPr>
        <w:t xml:space="preserve"> </w:t>
      </w:r>
      <w:r w:rsidRPr="00901746">
        <w:rPr>
          <w:rFonts w:ascii="FrankRuehl"/>
          <w:b/>
          <w:bCs/>
          <w:i/>
          <w:iCs/>
          <w:noProof w:val="0"/>
          <w:rtl/>
        </w:rPr>
        <w:t>בפגמים ברצון</w:t>
      </w:r>
      <w:r w:rsidRPr="00901746">
        <w:rPr>
          <w:rFonts w:ascii="FrankRuehl"/>
          <w:b/>
          <w:bCs/>
          <w:i/>
          <w:iCs/>
          <w:noProof w:val="0"/>
        </w:rPr>
        <w:t xml:space="preserve"> </w:t>
      </w:r>
      <w:r w:rsidRPr="00901746">
        <w:rPr>
          <w:rFonts w:ascii="FrankRuehl"/>
          <w:b/>
          <w:bCs/>
          <w:i/>
          <w:iCs/>
          <w:noProof w:val="0"/>
          <w:rtl/>
        </w:rPr>
        <w:t>בצוואה. הבסיס</w:t>
      </w:r>
      <w:r w:rsidRPr="00901746">
        <w:rPr>
          <w:rFonts w:ascii="FrankRuehl"/>
          <w:b/>
          <w:bCs/>
          <w:i/>
          <w:iCs/>
          <w:noProof w:val="0"/>
        </w:rPr>
        <w:t xml:space="preserve"> </w:t>
      </w:r>
      <w:r w:rsidRPr="00901746">
        <w:rPr>
          <w:rFonts w:ascii="FrankRuehl"/>
          <w:b/>
          <w:bCs/>
          <w:i/>
          <w:iCs/>
          <w:noProof w:val="0"/>
          <w:rtl/>
        </w:rPr>
        <w:t>לאנלוגיה</w:t>
      </w:r>
      <w:r w:rsidRPr="00901746">
        <w:rPr>
          <w:rFonts w:ascii="FrankRuehl"/>
          <w:b/>
          <w:bCs/>
          <w:i/>
          <w:iCs/>
          <w:noProof w:val="0"/>
        </w:rPr>
        <w:t xml:space="preserve"> </w:t>
      </w:r>
      <w:r w:rsidRPr="00901746">
        <w:rPr>
          <w:rFonts w:ascii="FrankRuehl"/>
          <w:b/>
          <w:bCs/>
          <w:i/>
          <w:iCs/>
          <w:noProof w:val="0"/>
          <w:rtl/>
        </w:rPr>
        <w:t>נעוץ</w:t>
      </w:r>
      <w:r w:rsidRPr="00901746">
        <w:rPr>
          <w:rFonts w:ascii="FrankRuehl"/>
          <w:b/>
          <w:bCs/>
          <w:i/>
          <w:iCs/>
          <w:noProof w:val="0"/>
        </w:rPr>
        <w:t xml:space="preserve"> </w:t>
      </w:r>
      <w:r w:rsidRPr="00901746">
        <w:rPr>
          <w:rFonts w:ascii="FrankRuehl"/>
          <w:b/>
          <w:bCs/>
          <w:i/>
          <w:iCs/>
          <w:noProof w:val="0"/>
          <w:rtl/>
        </w:rPr>
        <w:t>בכך</w:t>
      </w:r>
      <w:r w:rsidRPr="00901746">
        <w:rPr>
          <w:rFonts w:ascii="FrankRuehl"/>
          <w:b/>
          <w:bCs/>
          <w:i/>
          <w:iCs/>
          <w:noProof w:val="0"/>
        </w:rPr>
        <w:t xml:space="preserve"> </w:t>
      </w:r>
      <w:r w:rsidRPr="00901746">
        <w:rPr>
          <w:rFonts w:ascii="FrankRuehl"/>
          <w:b/>
          <w:bCs/>
          <w:i/>
          <w:iCs/>
          <w:noProof w:val="0"/>
          <w:rtl/>
        </w:rPr>
        <w:t>שבשני</w:t>
      </w:r>
      <w:r w:rsidRPr="00901746">
        <w:rPr>
          <w:rFonts w:ascii="FrankRuehl"/>
          <w:b/>
          <w:bCs/>
          <w:i/>
          <w:iCs/>
          <w:noProof w:val="0"/>
        </w:rPr>
        <w:t xml:space="preserve"> </w:t>
      </w:r>
      <w:r w:rsidRPr="00901746">
        <w:rPr>
          <w:rFonts w:ascii="FrankRuehl"/>
          <w:b/>
          <w:bCs/>
          <w:i/>
          <w:iCs/>
          <w:noProof w:val="0"/>
          <w:rtl/>
        </w:rPr>
        <w:t>המקרים</w:t>
      </w:r>
      <w:r w:rsidRPr="00901746">
        <w:rPr>
          <w:rFonts w:ascii="FrankRuehl"/>
          <w:b/>
          <w:bCs/>
          <w:i/>
          <w:iCs/>
          <w:noProof w:val="0"/>
        </w:rPr>
        <w:t xml:space="preserve"> </w:t>
      </w:r>
      <w:r w:rsidRPr="00901746">
        <w:rPr>
          <w:rFonts w:ascii="FrankRuehl"/>
          <w:b/>
          <w:bCs/>
          <w:i/>
          <w:iCs/>
          <w:noProof w:val="0"/>
          <w:rtl/>
        </w:rPr>
        <w:t>מדובר</w:t>
      </w:r>
      <w:r w:rsidRPr="00901746">
        <w:rPr>
          <w:rFonts w:ascii="FrankRuehl"/>
          <w:b/>
          <w:bCs/>
          <w:i/>
          <w:iCs/>
          <w:noProof w:val="0"/>
        </w:rPr>
        <w:t xml:space="preserve"> </w:t>
      </w:r>
      <w:r w:rsidRPr="00901746">
        <w:rPr>
          <w:rFonts w:ascii="FrankRuehl"/>
          <w:b/>
          <w:bCs/>
          <w:i/>
          <w:iCs/>
          <w:noProof w:val="0"/>
          <w:rtl/>
        </w:rPr>
        <w:t>בפגם בהענקה</w:t>
      </w:r>
      <w:r w:rsidRPr="00901746">
        <w:rPr>
          <w:rFonts w:ascii="FrankRuehl"/>
          <w:b/>
          <w:bCs/>
          <w:i/>
          <w:iCs/>
          <w:noProof w:val="0"/>
        </w:rPr>
        <w:t xml:space="preserve"> </w:t>
      </w:r>
      <w:r w:rsidRPr="00901746">
        <w:rPr>
          <w:rFonts w:ascii="FrankRuehl"/>
          <w:b/>
          <w:bCs/>
          <w:i/>
          <w:iCs/>
          <w:noProof w:val="0"/>
          <w:rtl/>
        </w:rPr>
        <w:t>חד</w:t>
      </w:r>
      <w:r w:rsidRPr="00901746">
        <w:rPr>
          <w:rFonts w:ascii="FrankRuehl"/>
          <w:b/>
          <w:bCs/>
          <w:i/>
          <w:iCs/>
          <w:noProof w:val="0"/>
        </w:rPr>
        <w:t xml:space="preserve"> </w:t>
      </w:r>
      <w:r w:rsidRPr="00901746">
        <w:rPr>
          <w:rFonts w:ascii="FrankRuehl"/>
          <w:b/>
          <w:bCs/>
          <w:i/>
          <w:iCs/>
          <w:noProof w:val="0"/>
          <w:rtl/>
        </w:rPr>
        <w:t>צדדית'.</w:t>
      </w:r>
    </w:p>
    <w:p w:rsidR="00A57DDA" w:rsidRPr="00901746" w:rsidRDefault="00A57DDA" w:rsidP="00A57DDA">
      <w:pPr>
        <w:autoSpaceDE w:val="0"/>
        <w:autoSpaceDN w:val="0"/>
        <w:adjustRightInd w:val="0"/>
        <w:spacing w:line="360" w:lineRule="auto"/>
        <w:ind w:left="1842" w:right="1276"/>
        <w:jc w:val="both"/>
        <w:rPr>
          <w:rFonts w:ascii="FrankRuehl"/>
          <w:i/>
          <w:iCs/>
          <w:noProof w:val="0"/>
          <w:rtl/>
        </w:rPr>
      </w:pPr>
    </w:p>
    <w:p w:rsidR="00A57DDA" w:rsidRPr="00901746" w:rsidRDefault="00A57DDA" w:rsidP="00A57DDA">
      <w:pPr>
        <w:autoSpaceDE w:val="0"/>
        <w:autoSpaceDN w:val="0"/>
        <w:adjustRightInd w:val="0"/>
        <w:spacing w:line="360" w:lineRule="auto"/>
        <w:ind w:left="1842" w:hanging="720"/>
        <w:jc w:val="both"/>
        <w:rPr>
          <w:rFonts w:ascii="Times-Roman" w:hAnsi="Times-Roman"/>
          <w:i/>
          <w:iCs/>
          <w:noProof w:val="0"/>
          <w:sz w:val="15"/>
          <w:szCs w:val="15"/>
          <w:rtl/>
        </w:rPr>
      </w:pPr>
      <w:r w:rsidRPr="00901746">
        <w:rPr>
          <w:rFonts w:ascii="FrankRuehl"/>
          <w:b/>
          <w:bCs/>
          <w:i/>
          <w:iCs/>
          <w:noProof w:val="0"/>
          <w:rtl/>
        </w:rPr>
        <w:t>55.6</w:t>
      </w:r>
      <w:r w:rsidRPr="00901746">
        <w:rPr>
          <w:rFonts w:ascii="FrankRuehl"/>
          <w:b/>
          <w:bCs/>
          <w:i/>
          <w:iCs/>
          <w:noProof w:val="0"/>
          <w:rtl/>
        </w:rPr>
        <w:tab/>
      </w:r>
      <w:r w:rsidRPr="00901746">
        <w:rPr>
          <w:rFonts w:ascii="David"/>
          <w:b/>
          <w:bCs/>
          <w:i/>
          <w:iCs/>
          <w:noProof w:val="0"/>
          <w:sz w:val="22"/>
          <w:szCs w:val="22"/>
        </w:rPr>
        <w:t xml:space="preserve"> </w:t>
      </w:r>
      <w:r w:rsidRPr="00901746">
        <w:rPr>
          <w:rFonts w:ascii="David"/>
          <w:b/>
          <w:bCs/>
          <w:i/>
          <w:iCs/>
          <w:noProof w:val="0"/>
          <w:rtl/>
        </w:rPr>
        <w:t>דברים</w:t>
      </w:r>
      <w:r w:rsidRPr="00901746">
        <w:rPr>
          <w:rFonts w:ascii="David"/>
          <w:b/>
          <w:bCs/>
          <w:i/>
          <w:iCs/>
          <w:noProof w:val="0"/>
        </w:rPr>
        <w:t xml:space="preserve"> </w:t>
      </w:r>
      <w:r w:rsidRPr="00901746">
        <w:rPr>
          <w:rFonts w:ascii="David"/>
          <w:b/>
          <w:bCs/>
          <w:i/>
          <w:iCs/>
          <w:noProof w:val="0"/>
          <w:rtl/>
        </w:rPr>
        <w:t>אלו</w:t>
      </w:r>
      <w:r w:rsidRPr="00901746">
        <w:rPr>
          <w:rFonts w:ascii="David"/>
          <w:b/>
          <w:bCs/>
          <w:i/>
          <w:iCs/>
          <w:noProof w:val="0"/>
        </w:rPr>
        <w:t xml:space="preserve"> </w:t>
      </w:r>
      <w:r w:rsidRPr="00901746">
        <w:rPr>
          <w:rFonts w:ascii="David"/>
          <w:b/>
          <w:bCs/>
          <w:i/>
          <w:iCs/>
          <w:noProof w:val="0"/>
          <w:rtl/>
        </w:rPr>
        <w:t>גם</w:t>
      </w:r>
      <w:r w:rsidRPr="00901746">
        <w:rPr>
          <w:rFonts w:ascii="David"/>
          <w:b/>
          <w:bCs/>
          <w:i/>
          <w:iCs/>
          <w:noProof w:val="0"/>
        </w:rPr>
        <w:t xml:space="preserve"> </w:t>
      </w:r>
      <w:r w:rsidRPr="00901746">
        <w:rPr>
          <w:rFonts w:ascii="David"/>
          <w:b/>
          <w:bCs/>
          <w:i/>
          <w:iCs/>
          <w:noProof w:val="0"/>
          <w:rtl/>
        </w:rPr>
        <w:t>זכו</w:t>
      </w:r>
      <w:r w:rsidRPr="00901746">
        <w:rPr>
          <w:rFonts w:ascii="David"/>
          <w:b/>
          <w:bCs/>
          <w:i/>
          <w:iCs/>
          <w:noProof w:val="0"/>
        </w:rPr>
        <w:t xml:space="preserve"> </w:t>
      </w:r>
      <w:r w:rsidRPr="00901746">
        <w:rPr>
          <w:rFonts w:ascii="David"/>
          <w:b/>
          <w:bCs/>
          <w:i/>
          <w:iCs/>
          <w:noProof w:val="0"/>
          <w:rtl/>
        </w:rPr>
        <w:t>לביטוי</w:t>
      </w:r>
      <w:r w:rsidRPr="00901746">
        <w:rPr>
          <w:rFonts w:ascii="David"/>
          <w:b/>
          <w:bCs/>
          <w:i/>
          <w:iCs/>
          <w:noProof w:val="0"/>
        </w:rPr>
        <w:t xml:space="preserve"> </w:t>
      </w:r>
      <w:r w:rsidRPr="00901746">
        <w:rPr>
          <w:rFonts w:ascii="David"/>
          <w:b/>
          <w:bCs/>
          <w:i/>
          <w:iCs/>
          <w:noProof w:val="0"/>
          <w:rtl/>
        </w:rPr>
        <w:t>בפסיקת</w:t>
      </w:r>
      <w:r w:rsidRPr="00901746">
        <w:rPr>
          <w:rFonts w:ascii="David"/>
          <w:b/>
          <w:bCs/>
          <w:i/>
          <w:iCs/>
          <w:noProof w:val="0"/>
        </w:rPr>
        <w:t xml:space="preserve"> </w:t>
      </w:r>
      <w:r w:rsidRPr="00901746">
        <w:rPr>
          <w:rFonts w:ascii="David"/>
          <w:b/>
          <w:bCs/>
          <w:i/>
          <w:iCs/>
          <w:noProof w:val="0"/>
          <w:rtl/>
        </w:rPr>
        <w:t>ביהמ</w:t>
      </w:r>
      <w:r w:rsidRPr="00901746">
        <w:rPr>
          <w:rFonts w:ascii="David"/>
          <w:b/>
          <w:bCs/>
          <w:i/>
          <w:iCs/>
          <w:noProof w:val="0"/>
        </w:rPr>
        <w:t>"</w:t>
      </w:r>
      <w:r w:rsidRPr="00901746">
        <w:rPr>
          <w:rFonts w:ascii="David"/>
          <w:b/>
          <w:bCs/>
          <w:i/>
          <w:iCs/>
          <w:noProof w:val="0"/>
          <w:rtl/>
        </w:rPr>
        <w:t>ש</w:t>
      </w:r>
      <w:r w:rsidRPr="00901746">
        <w:rPr>
          <w:rFonts w:ascii="David"/>
          <w:b/>
          <w:bCs/>
          <w:i/>
          <w:iCs/>
          <w:noProof w:val="0"/>
        </w:rPr>
        <w:t xml:space="preserve"> </w:t>
      </w:r>
      <w:r w:rsidRPr="00901746">
        <w:rPr>
          <w:rFonts w:ascii="David"/>
          <w:b/>
          <w:bCs/>
          <w:i/>
          <w:iCs/>
          <w:noProof w:val="0"/>
          <w:rtl/>
        </w:rPr>
        <w:t>העליון</w:t>
      </w:r>
      <w:r w:rsidRPr="00901746">
        <w:rPr>
          <w:rFonts w:ascii="David"/>
          <w:b/>
          <w:bCs/>
          <w:i/>
          <w:iCs/>
          <w:noProof w:val="0"/>
        </w:rPr>
        <w:t xml:space="preserve"> </w:t>
      </w:r>
      <w:r w:rsidRPr="00901746">
        <w:rPr>
          <w:rFonts w:ascii="David"/>
          <w:b/>
          <w:bCs/>
          <w:i/>
          <w:iCs/>
          <w:noProof w:val="0"/>
          <w:rtl/>
        </w:rPr>
        <w:t>וערכאות נמוכות</w:t>
      </w:r>
      <w:r w:rsidRPr="00901746">
        <w:rPr>
          <w:rFonts w:ascii="David"/>
          <w:b/>
          <w:bCs/>
          <w:i/>
          <w:iCs/>
          <w:noProof w:val="0"/>
        </w:rPr>
        <w:t xml:space="preserve"> </w:t>
      </w:r>
      <w:r w:rsidRPr="00901746">
        <w:rPr>
          <w:rFonts w:ascii="David"/>
          <w:b/>
          <w:bCs/>
          <w:i/>
          <w:iCs/>
          <w:noProof w:val="0"/>
          <w:rtl/>
        </w:rPr>
        <w:t>יותר</w:t>
      </w:r>
      <w:r w:rsidRPr="00901746">
        <w:rPr>
          <w:rFonts w:asciiTheme="minorHAnsi" w:hAnsiTheme="minorHAnsi"/>
          <w:b/>
          <w:bCs/>
          <w:i/>
          <w:iCs/>
          <w:noProof w:val="0"/>
          <w:rtl/>
        </w:rPr>
        <w:t xml:space="preserve">. </w:t>
      </w:r>
      <w:r w:rsidRPr="00901746">
        <w:rPr>
          <w:rFonts w:ascii="David"/>
          <w:b/>
          <w:bCs/>
          <w:i/>
          <w:iCs/>
          <w:noProof w:val="0"/>
          <w:rtl/>
        </w:rPr>
        <w:t>פסק</w:t>
      </w:r>
      <w:r w:rsidRPr="00901746">
        <w:rPr>
          <w:rFonts w:ascii="David"/>
          <w:b/>
          <w:bCs/>
          <w:i/>
          <w:iCs/>
          <w:noProof w:val="0"/>
        </w:rPr>
        <w:t xml:space="preserve"> </w:t>
      </w:r>
      <w:r w:rsidRPr="00901746">
        <w:rPr>
          <w:rFonts w:ascii="David"/>
          <w:b/>
          <w:bCs/>
          <w:i/>
          <w:iCs/>
          <w:noProof w:val="0"/>
          <w:rtl/>
        </w:rPr>
        <w:t>הדין</w:t>
      </w:r>
      <w:r w:rsidRPr="00901746">
        <w:rPr>
          <w:rFonts w:ascii="David"/>
          <w:b/>
          <w:bCs/>
          <w:i/>
          <w:iCs/>
          <w:noProof w:val="0"/>
        </w:rPr>
        <w:t xml:space="preserve"> </w:t>
      </w:r>
      <w:r w:rsidRPr="00901746">
        <w:rPr>
          <w:rFonts w:ascii="David"/>
          <w:b/>
          <w:bCs/>
          <w:i/>
          <w:iCs/>
          <w:noProof w:val="0"/>
          <w:rtl/>
        </w:rPr>
        <w:t>הראשון של</w:t>
      </w:r>
      <w:r w:rsidRPr="00901746">
        <w:rPr>
          <w:rFonts w:ascii="David"/>
          <w:b/>
          <w:bCs/>
          <w:i/>
          <w:iCs/>
          <w:noProof w:val="0"/>
        </w:rPr>
        <w:t xml:space="preserve"> </w:t>
      </w:r>
      <w:r w:rsidRPr="00901746">
        <w:rPr>
          <w:rFonts w:ascii="David"/>
          <w:b/>
          <w:bCs/>
          <w:i/>
          <w:iCs/>
          <w:noProof w:val="0"/>
          <w:rtl/>
        </w:rPr>
        <w:t>ביהמ</w:t>
      </w:r>
      <w:r w:rsidRPr="00901746">
        <w:rPr>
          <w:rFonts w:ascii="David"/>
          <w:b/>
          <w:bCs/>
          <w:i/>
          <w:iCs/>
          <w:noProof w:val="0"/>
        </w:rPr>
        <w:t>"</w:t>
      </w:r>
      <w:r w:rsidRPr="00901746">
        <w:rPr>
          <w:rFonts w:ascii="David"/>
          <w:b/>
          <w:bCs/>
          <w:i/>
          <w:iCs/>
          <w:noProof w:val="0"/>
          <w:rtl/>
        </w:rPr>
        <w:t>ש</w:t>
      </w:r>
      <w:r w:rsidRPr="00901746">
        <w:rPr>
          <w:rFonts w:ascii="David"/>
          <w:b/>
          <w:bCs/>
          <w:i/>
          <w:iCs/>
          <w:noProof w:val="0"/>
        </w:rPr>
        <w:t xml:space="preserve"> </w:t>
      </w:r>
      <w:r w:rsidRPr="00901746">
        <w:rPr>
          <w:rFonts w:ascii="David"/>
          <w:b/>
          <w:bCs/>
          <w:i/>
          <w:iCs/>
          <w:noProof w:val="0"/>
          <w:rtl/>
        </w:rPr>
        <w:t>העליון</w:t>
      </w:r>
      <w:r w:rsidRPr="00901746">
        <w:rPr>
          <w:rFonts w:ascii="David"/>
          <w:b/>
          <w:bCs/>
          <w:i/>
          <w:iCs/>
          <w:noProof w:val="0"/>
        </w:rPr>
        <w:t xml:space="preserve"> </w:t>
      </w:r>
      <w:r w:rsidRPr="00901746">
        <w:rPr>
          <w:rFonts w:ascii="David"/>
          <w:b/>
          <w:bCs/>
          <w:i/>
          <w:iCs/>
          <w:noProof w:val="0"/>
          <w:rtl/>
        </w:rPr>
        <w:t>שדן</w:t>
      </w:r>
      <w:r w:rsidRPr="00901746">
        <w:rPr>
          <w:rFonts w:ascii="David"/>
          <w:b/>
          <w:bCs/>
          <w:i/>
          <w:iCs/>
          <w:noProof w:val="0"/>
        </w:rPr>
        <w:t xml:space="preserve"> </w:t>
      </w:r>
      <w:r w:rsidRPr="00901746">
        <w:rPr>
          <w:rFonts w:ascii="David"/>
          <w:b/>
          <w:bCs/>
          <w:i/>
          <w:iCs/>
          <w:noProof w:val="0"/>
          <w:rtl/>
        </w:rPr>
        <w:t>בכך</w:t>
      </w:r>
      <w:r w:rsidRPr="00901746">
        <w:rPr>
          <w:rFonts w:ascii="David"/>
          <w:b/>
          <w:bCs/>
          <w:i/>
          <w:iCs/>
          <w:noProof w:val="0"/>
        </w:rPr>
        <w:t xml:space="preserve"> </w:t>
      </w:r>
      <w:r w:rsidRPr="00901746">
        <w:rPr>
          <w:rFonts w:ascii="David"/>
          <w:b/>
          <w:bCs/>
          <w:i/>
          <w:iCs/>
          <w:noProof w:val="0"/>
          <w:rtl/>
        </w:rPr>
        <w:t>הוא</w:t>
      </w:r>
      <w:r w:rsidRPr="00901746">
        <w:rPr>
          <w:rFonts w:ascii="David"/>
          <w:b/>
          <w:bCs/>
          <w:i/>
          <w:iCs/>
          <w:noProof w:val="0"/>
        </w:rPr>
        <w:t xml:space="preserve"> </w:t>
      </w:r>
      <w:r w:rsidRPr="00901746">
        <w:rPr>
          <w:rFonts w:ascii="David"/>
          <w:b/>
          <w:bCs/>
          <w:i/>
          <w:iCs/>
          <w:noProof w:val="0"/>
          <w:rtl/>
        </w:rPr>
        <w:t>בפרשת</w:t>
      </w:r>
      <w:r w:rsidRPr="00901746">
        <w:rPr>
          <w:rFonts w:ascii="David"/>
          <w:b/>
          <w:bCs/>
          <w:i/>
          <w:iCs/>
          <w:noProof w:val="0"/>
        </w:rPr>
        <w:t xml:space="preserve"> </w:t>
      </w:r>
      <w:r w:rsidRPr="00901746">
        <w:rPr>
          <w:rFonts w:ascii="David"/>
          <w:b/>
          <w:bCs/>
          <w:i/>
          <w:iCs/>
          <w:noProof w:val="0"/>
          <w:rtl/>
        </w:rPr>
        <w:t>עיזבון</w:t>
      </w:r>
      <w:r w:rsidRPr="00901746">
        <w:rPr>
          <w:rFonts w:ascii="David"/>
          <w:b/>
          <w:bCs/>
          <w:i/>
          <w:iCs/>
          <w:noProof w:val="0"/>
        </w:rPr>
        <w:t xml:space="preserve"> </w:t>
      </w:r>
      <w:r w:rsidRPr="00901746">
        <w:rPr>
          <w:rFonts w:ascii="David"/>
          <w:b/>
          <w:bCs/>
          <w:i/>
          <w:iCs/>
          <w:noProof w:val="0"/>
          <w:rtl/>
        </w:rPr>
        <w:t>יפה</w:t>
      </w:r>
      <w:r w:rsidRPr="00901746">
        <w:rPr>
          <w:rFonts w:ascii="Times-Roman" w:hAnsi="Times-Roman"/>
          <w:b/>
          <w:bCs/>
          <w:i/>
          <w:iCs/>
          <w:noProof w:val="0"/>
          <w:sz w:val="23"/>
          <w:szCs w:val="23"/>
          <w:rtl/>
        </w:rPr>
        <w:t>:</w:t>
      </w:r>
    </w:p>
    <w:p w:rsidR="00A57DDA" w:rsidRPr="00901746" w:rsidRDefault="00A57DDA" w:rsidP="00A57DDA">
      <w:pPr>
        <w:autoSpaceDE w:val="0"/>
        <w:autoSpaceDN w:val="0"/>
        <w:adjustRightInd w:val="0"/>
        <w:spacing w:line="360" w:lineRule="auto"/>
        <w:ind w:left="1842" w:hanging="720"/>
        <w:jc w:val="both"/>
        <w:rPr>
          <w:rFonts w:ascii="Times-Roman" w:hAnsi="Times-Roman"/>
          <w:i/>
          <w:iCs/>
          <w:noProof w:val="0"/>
          <w:sz w:val="15"/>
          <w:szCs w:val="15"/>
          <w:rtl/>
        </w:rPr>
      </w:pPr>
    </w:p>
    <w:p w:rsidR="00A57DDA" w:rsidRPr="00901746" w:rsidRDefault="00A57DDA" w:rsidP="00A57DDA">
      <w:pPr>
        <w:autoSpaceDE w:val="0"/>
        <w:autoSpaceDN w:val="0"/>
        <w:adjustRightInd w:val="0"/>
        <w:spacing w:line="360" w:lineRule="auto"/>
        <w:ind w:left="2880"/>
        <w:jc w:val="both"/>
        <w:rPr>
          <w:rFonts w:ascii="FrankRuehl"/>
          <w:b/>
          <w:bCs/>
          <w:i/>
          <w:iCs/>
          <w:noProof w:val="0"/>
          <w:rtl/>
        </w:rPr>
      </w:pPr>
      <w:r w:rsidRPr="00901746">
        <w:rPr>
          <w:rFonts w:ascii="FrankRuehl" w:hint="cs"/>
          <w:b/>
          <w:bCs/>
          <w:i/>
          <w:iCs/>
          <w:noProof w:val="0"/>
          <w:rtl/>
        </w:rPr>
        <w:t>"</w:t>
      </w:r>
      <w:r w:rsidRPr="00901746">
        <w:rPr>
          <w:rFonts w:ascii="FrankRuehl"/>
          <w:b/>
          <w:bCs/>
          <w:i/>
          <w:iCs/>
          <w:noProof w:val="0"/>
          <w:rtl/>
        </w:rPr>
        <w:t>אכן</w:t>
      </w:r>
      <w:r w:rsidRPr="00901746">
        <w:rPr>
          <w:rFonts w:ascii="FrankRuehl"/>
          <w:b/>
          <w:bCs/>
          <w:i/>
          <w:iCs/>
          <w:noProof w:val="0"/>
        </w:rPr>
        <w:t xml:space="preserve"> </w:t>
      </w:r>
      <w:r w:rsidRPr="00901746">
        <w:rPr>
          <w:rFonts w:ascii="FrankRuehl"/>
          <w:b/>
          <w:bCs/>
          <w:i/>
          <w:iCs/>
          <w:noProof w:val="0"/>
          <w:rtl/>
        </w:rPr>
        <w:t>הכלל</w:t>
      </w:r>
      <w:r w:rsidRPr="00901746">
        <w:rPr>
          <w:rFonts w:ascii="FrankRuehl"/>
          <w:b/>
          <w:bCs/>
          <w:i/>
          <w:iCs/>
          <w:noProof w:val="0"/>
        </w:rPr>
        <w:t xml:space="preserve"> </w:t>
      </w:r>
      <w:r w:rsidRPr="00901746">
        <w:rPr>
          <w:rFonts w:ascii="FrankRuehl"/>
          <w:b/>
          <w:bCs/>
          <w:i/>
          <w:iCs/>
          <w:noProof w:val="0"/>
          <w:rtl/>
        </w:rPr>
        <w:t>הוא</w:t>
      </w:r>
      <w:r w:rsidRPr="00901746">
        <w:rPr>
          <w:rFonts w:ascii="FrankRuehl" w:hint="cs"/>
          <w:b/>
          <w:bCs/>
          <w:i/>
          <w:iCs/>
          <w:noProof w:val="0"/>
          <w:rtl/>
        </w:rPr>
        <w:t>,</w:t>
      </w:r>
      <w:r w:rsidRPr="00901746">
        <w:rPr>
          <w:rFonts w:ascii="FrankRuehl"/>
          <w:b/>
          <w:bCs/>
          <w:i/>
          <w:iCs/>
          <w:noProof w:val="0"/>
        </w:rPr>
        <w:t xml:space="preserve"> </w:t>
      </w:r>
      <w:r w:rsidRPr="00901746">
        <w:rPr>
          <w:rFonts w:ascii="FrankRuehl"/>
          <w:b/>
          <w:bCs/>
          <w:i/>
          <w:iCs/>
          <w:noProof w:val="0"/>
          <w:rtl/>
        </w:rPr>
        <w:t>שדיני</w:t>
      </w:r>
      <w:r w:rsidRPr="00901746">
        <w:rPr>
          <w:rFonts w:ascii="FrankRuehl"/>
          <w:b/>
          <w:bCs/>
          <w:i/>
          <w:iCs/>
          <w:noProof w:val="0"/>
        </w:rPr>
        <w:t xml:space="preserve"> </w:t>
      </w:r>
      <w:r w:rsidRPr="00901746">
        <w:rPr>
          <w:rFonts w:ascii="FrankRuehl"/>
          <w:b/>
          <w:bCs/>
          <w:i/>
          <w:iCs/>
          <w:noProof w:val="0"/>
          <w:rtl/>
        </w:rPr>
        <w:t>העושק</w:t>
      </w:r>
      <w:r w:rsidRPr="00901746">
        <w:rPr>
          <w:rFonts w:ascii="FrankRuehl"/>
          <w:b/>
          <w:bCs/>
          <w:i/>
          <w:iCs/>
          <w:noProof w:val="0"/>
        </w:rPr>
        <w:t xml:space="preserve"> </w:t>
      </w:r>
      <w:r w:rsidRPr="00901746">
        <w:rPr>
          <w:rFonts w:ascii="FrankRuehl"/>
          <w:b/>
          <w:bCs/>
          <w:i/>
          <w:iCs/>
          <w:noProof w:val="0"/>
          <w:rtl/>
        </w:rPr>
        <w:t>תופסים</w:t>
      </w:r>
      <w:r w:rsidRPr="00901746">
        <w:rPr>
          <w:rFonts w:ascii="FrankRuehl"/>
          <w:b/>
          <w:bCs/>
          <w:i/>
          <w:iCs/>
          <w:noProof w:val="0"/>
        </w:rPr>
        <w:t xml:space="preserve"> </w:t>
      </w:r>
      <w:r w:rsidRPr="00901746">
        <w:rPr>
          <w:rFonts w:ascii="FrankRuehl"/>
          <w:b/>
          <w:bCs/>
          <w:i/>
          <w:iCs/>
          <w:noProof w:val="0"/>
          <w:rtl/>
        </w:rPr>
        <w:t>את</w:t>
      </w:r>
      <w:r w:rsidRPr="00901746">
        <w:rPr>
          <w:rFonts w:ascii="FrankRuehl"/>
          <w:b/>
          <w:bCs/>
          <w:i/>
          <w:iCs/>
          <w:noProof w:val="0"/>
        </w:rPr>
        <w:t xml:space="preserve"> </w:t>
      </w:r>
      <w:r w:rsidRPr="00901746">
        <w:rPr>
          <w:rFonts w:ascii="FrankRuehl"/>
          <w:b/>
          <w:bCs/>
          <w:i/>
          <w:iCs/>
          <w:noProof w:val="0"/>
          <w:rtl/>
        </w:rPr>
        <w:t>מקומם</w:t>
      </w:r>
      <w:r w:rsidRPr="00901746">
        <w:rPr>
          <w:rFonts w:ascii="FrankRuehl"/>
          <w:b/>
          <w:bCs/>
          <w:i/>
          <w:iCs/>
          <w:noProof w:val="0"/>
        </w:rPr>
        <w:t xml:space="preserve"> </w:t>
      </w:r>
      <w:r w:rsidRPr="00901746">
        <w:rPr>
          <w:rFonts w:ascii="FrankRuehl"/>
          <w:b/>
          <w:bCs/>
          <w:i/>
          <w:iCs/>
          <w:noProof w:val="0"/>
          <w:rtl/>
        </w:rPr>
        <w:t>של</w:t>
      </w:r>
      <w:r w:rsidRPr="00901746">
        <w:rPr>
          <w:rFonts w:ascii="FrankRuehl"/>
          <w:b/>
          <w:bCs/>
          <w:i/>
          <w:iCs/>
          <w:noProof w:val="0"/>
        </w:rPr>
        <w:t xml:space="preserve"> </w:t>
      </w:r>
      <w:r w:rsidRPr="00901746">
        <w:rPr>
          <w:rFonts w:ascii="FrankRuehl"/>
          <w:b/>
          <w:bCs/>
          <w:i/>
          <w:iCs/>
          <w:noProof w:val="0"/>
          <w:rtl/>
        </w:rPr>
        <w:t>דיני</w:t>
      </w:r>
      <w:r w:rsidRPr="00901746">
        <w:rPr>
          <w:rFonts w:ascii="FrankRuehl"/>
          <w:b/>
          <w:bCs/>
          <w:i/>
          <w:iCs/>
          <w:noProof w:val="0"/>
        </w:rPr>
        <w:t xml:space="preserve"> </w:t>
      </w:r>
      <w:r w:rsidRPr="00901746">
        <w:rPr>
          <w:rFonts w:ascii="FrankRuehl"/>
          <w:b/>
          <w:bCs/>
          <w:i/>
          <w:iCs/>
          <w:noProof w:val="0"/>
          <w:rtl/>
        </w:rPr>
        <w:t xml:space="preserve">ההשפעה הבלתי הוגנת. כך נקבע, ש"מינוח זה </w:t>
      </w:r>
      <w:r w:rsidRPr="00901746">
        <w:rPr>
          <w:rFonts w:ascii="FrankRuehl"/>
          <w:b/>
          <w:bCs/>
          <w:i/>
          <w:iCs/>
          <w:noProof w:val="0"/>
          <w:sz w:val="16"/>
          <w:szCs w:val="16"/>
        </w:rPr>
        <w:t xml:space="preserve">UNDUE INFLUENCE </w:t>
      </w:r>
      <w:r w:rsidRPr="00901746">
        <w:rPr>
          <w:rFonts w:ascii="FrankRuehl"/>
          <w:b/>
          <w:bCs/>
          <w:i/>
          <w:iCs/>
          <w:noProof w:val="0"/>
          <w:rtl/>
        </w:rPr>
        <w:t xml:space="preserve"> </w:t>
      </w:r>
      <w:r w:rsidRPr="00901746">
        <w:rPr>
          <w:rFonts w:ascii="FrankRuehl" w:hint="cs"/>
          <w:b/>
          <w:bCs/>
          <w:i/>
          <w:iCs/>
          <w:noProof w:val="0"/>
          <w:rtl/>
        </w:rPr>
        <w:t>שוב אינו מופיע בחוק</w:t>
      </w:r>
      <w:r w:rsidRPr="00901746">
        <w:rPr>
          <w:rFonts w:ascii="FrankRuehl"/>
          <w:b/>
          <w:bCs/>
          <w:i/>
          <w:iCs/>
          <w:noProof w:val="0"/>
        </w:rPr>
        <w:t xml:space="preserve"> </w:t>
      </w:r>
      <w:r w:rsidRPr="00901746">
        <w:rPr>
          <w:rFonts w:ascii="FrankRuehl"/>
          <w:b/>
          <w:bCs/>
          <w:i/>
          <w:iCs/>
          <w:noProof w:val="0"/>
          <w:rtl/>
        </w:rPr>
        <w:t>החוזים</w:t>
      </w:r>
      <w:r w:rsidRPr="00901746">
        <w:rPr>
          <w:rFonts w:ascii="FrankRuehl"/>
          <w:b/>
          <w:bCs/>
          <w:i/>
          <w:iCs/>
          <w:noProof w:val="0"/>
        </w:rPr>
        <w:t xml:space="preserve"> </w:t>
      </w:r>
      <w:r w:rsidRPr="00901746">
        <w:rPr>
          <w:rFonts w:ascii="FrankRuehl"/>
          <w:b/>
          <w:bCs/>
          <w:i/>
          <w:iCs/>
          <w:noProof w:val="0"/>
          <w:rtl/>
        </w:rPr>
        <w:t>(חלק</w:t>
      </w:r>
      <w:r w:rsidRPr="00901746">
        <w:rPr>
          <w:rFonts w:ascii="FrankRuehl"/>
          <w:b/>
          <w:bCs/>
          <w:i/>
          <w:iCs/>
          <w:noProof w:val="0"/>
        </w:rPr>
        <w:t xml:space="preserve"> </w:t>
      </w:r>
      <w:r w:rsidRPr="00901746">
        <w:rPr>
          <w:rFonts w:ascii="FrankRuehl"/>
          <w:b/>
          <w:bCs/>
          <w:i/>
          <w:iCs/>
          <w:noProof w:val="0"/>
          <w:rtl/>
        </w:rPr>
        <w:t>כללי)</w:t>
      </w:r>
      <w:r w:rsidRPr="00901746">
        <w:rPr>
          <w:rFonts w:ascii="FrankRuehl"/>
          <w:b/>
          <w:bCs/>
          <w:i/>
          <w:iCs/>
          <w:noProof w:val="0"/>
        </w:rPr>
        <w:t xml:space="preserve"> </w:t>
      </w:r>
      <w:r w:rsidRPr="00901746">
        <w:rPr>
          <w:rFonts w:ascii="FrankRuehl"/>
          <w:b/>
          <w:bCs/>
          <w:i/>
          <w:iCs/>
          <w:noProof w:val="0"/>
          <w:rtl/>
        </w:rPr>
        <w:t>תשל</w:t>
      </w:r>
      <w:r w:rsidRPr="00901746">
        <w:rPr>
          <w:rFonts w:ascii="FrankRuehl"/>
          <w:b/>
          <w:bCs/>
          <w:i/>
          <w:iCs/>
          <w:noProof w:val="0"/>
        </w:rPr>
        <w:t>"</w:t>
      </w:r>
      <w:r w:rsidRPr="00901746">
        <w:rPr>
          <w:rFonts w:ascii="FrankRuehl"/>
          <w:b/>
          <w:bCs/>
          <w:i/>
          <w:iCs/>
          <w:noProof w:val="0"/>
          <w:rtl/>
        </w:rPr>
        <w:t>ג-1973, ובמקומו</w:t>
      </w:r>
      <w:r w:rsidRPr="00901746">
        <w:rPr>
          <w:rFonts w:ascii="FrankRuehl"/>
          <w:b/>
          <w:bCs/>
          <w:i/>
          <w:iCs/>
          <w:noProof w:val="0"/>
        </w:rPr>
        <w:t xml:space="preserve"> </w:t>
      </w:r>
      <w:r w:rsidRPr="00901746">
        <w:rPr>
          <w:rFonts w:ascii="FrankRuehl"/>
          <w:b/>
          <w:bCs/>
          <w:i/>
          <w:iCs/>
          <w:noProof w:val="0"/>
          <w:rtl/>
        </w:rPr>
        <w:t>בא</w:t>
      </w:r>
      <w:r w:rsidRPr="00901746">
        <w:rPr>
          <w:rFonts w:asciiTheme="minorHAnsi" w:hAnsiTheme="minorHAnsi"/>
          <w:b/>
          <w:bCs/>
          <w:i/>
          <w:iCs/>
          <w:noProof w:val="0"/>
          <w:rtl/>
        </w:rPr>
        <w:t xml:space="preserve">, </w:t>
      </w:r>
      <w:r w:rsidRPr="00901746">
        <w:rPr>
          <w:rFonts w:ascii="FrankRuehl"/>
          <w:b/>
          <w:bCs/>
          <w:i/>
          <w:iCs/>
          <w:noProof w:val="0"/>
          <w:rtl/>
        </w:rPr>
        <w:t>בעיקר</w:t>
      </w:r>
      <w:r w:rsidRPr="00901746">
        <w:rPr>
          <w:rFonts w:ascii="FrankRuehl"/>
          <w:b/>
          <w:bCs/>
          <w:i/>
          <w:iCs/>
          <w:noProof w:val="0"/>
        </w:rPr>
        <w:t xml:space="preserve"> </w:t>
      </w:r>
      <w:r w:rsidRPr="00901746">
        <w:rPr>
          <w:rFonts w:ascii="FrankRuehl"/>
          <w:b/>
          <w:bCs/>
          <w:i/>
          <w:iCs/>
          <w:noProof w:val="0"/>
          <w:rtl/>
        </w:rPr>
        <w:t>סעיף</w:t>
      </w:r>
      <w:r w:rsidRPr="00901746">
        <w:rPr>
          <w:rFonts w:ascii="FrankRuehl"/>
          <w:b/>
          <w:bCs/>
          <w:i/>
          <w:iCs/>
          <w:noProof w:val="0"/>
        </w:rPr>
        <w:t xml:space="preserve"> </w:t>
      </w:r>
      <w:r w:rsidRPr="00901746">
        <w:rPr>
          <w:rFonts w:ascii="FrankRuehl"/>
          <w:b/>
          <w:bCs/>
          <w:i/>
          <w:iCs/>
          <w:noProof w:val="0"/>
          <w:rtl/>
        </w:rPr>
        <w:t xml:space="preserve"> 18, המכונה</w:t>
      </w:r>
      <w:r w:rsidRPr="00901746">
        <w:rPr>
          <w:rFonts w:ascii="FrankRuehl"/>
          <w:b/>
          <w:bCs/>
          <w:i/>
          <w:iCs/>
          <w:noProof w:val="0"/>
        </w:rPr>
        <w:t xml:space="preserve"> </w:t>
      </w:r>
      <w:r w:rsidRPr="00901746">
        <w:rPr>
          <w:rFonts w:ascii="FrankRuehl"/>
          <w:b/>
          <w:bCs/>
          <w:i/>
          <w:iCs/>
          <w:noProof w:val="0"/>
          <w:rtl/>
        </w:rPr>
        <w:t>בשוליו</w:t>
      </w:r>
      <w:r w:rsidRPr="00901746">
        <w:rPr>
          <w:rFonts w:ascii="FrankRuehl"/>
          <w:b/>
          <w:bCs/>
          <w:i/>
          <w:iCs/>
          <w:noProof w:val="0"/>
        </w:rPr>
        <w:t xml:space="preserve"> </w:t>
      </w:r>
      <w:r w:rsidRPr="00901746">
        <w:rPr>
          <w:rFonts w:ascii="FrankRuehl"/>
          <w:b/>
          <w:bCs/>
          <w:i/>
          <w:iCs/>
          <w:noProof w:val="0"/>
          <w:rtl/>
        </w:rPr>
        <w:t>בשם</w:t>
      </w:r>
      <w:r w:rsidRPr="00901746">
        <w:rPr>
          <w:rFonts w:ascii="FrankRuehl"/>
          <w:b/>
          <w:bCs/>
          <w:i/>
          <w:iCs/>
          <w:noProof w:val="0"/>
        </w:rPr>
        <w:t xml:space="preserve"> </w:t>
      </w:r>
      <w:r w:rsidRPr="00901746">
        <w:rPr>
          <w:rFonts w:ascii="FrankRuehl"/>
          <w:b/>
          <w:bCs/>
          <w:i/>
          <w:iCs/>
          <w:noProof w:val="0"/>
          <w:rtl/>
        </w:rPr>
        <w:t>עושק</w:t>
      </w:r>
      <w:r w:rsidRPr="00901746">
        <w:rPr>
          <w:rFonts w:ascii="FrankRuehl"/>
          <w:b/>
          <w:bCs/>
          <w:i/>
          <w:iCs/>
          <w:noProof w:val="0"/>
        </w:rPr>
        <w:t xml:space="preserve">"........ </w:t>
      </w:r>
      <w:r w:rsidRPr="00901746">
        <w:rPr>
          <w:rFonts w:ascii="FrankRuehl"/>
          <w:b/>
          <w:bCs/>
          <w:i/>
          <w:iCs/>
          <w:noProof w:val="0"/>
          <w:rtl/>
        </w:rPr>
        <w:t xml:space="preserve"> </w:t>
      </w:r>
      <w:r w:rsidRPr="00901746">
        <w:rPr>
          <w:rFonts w:ascii="FrankRuehl" w:hint="cs"/>
          <w:b/>
          <w:bCs/>
          <w:i/>
          <w:iCs/>
          <w:noProof w:val="0"/>
          <w:rtl/>
        </w:rPr>
        <w:t>אלא</w:t>
      </w:r>
      <w:r w:rsidRPr="00901746">
        <w:rPr>
          <w:rFonts w:asciiTheme="minorHAnsi" w:hAnsiTheme="minorHAnsi"/>
          <w:b/>
          <w:bCs/>
          <w:i/>
          <w:iCs/>
          <w:noProof w:val="0"/>
          <w:rtl/>
        </w:rPr>
        <w:t>,</w:t>
      </w:r>
      <w:r w:rsidRPr="00901746">
        <w:rPr>
          <w:rFonts w:ascii="FrankRuehl"/>
          <w:b/>
          <w:bCs/>
          <w:i/>
          <w:iCs/>
          <w:noProof w:val="0"/>
          <w:rtl/>
        </w:rPr>
        <w:t xml:space="preserve"> שפסקי</w:t>
      </w:r>
      <w:r w:rsidRPr="00901746">
        <w:rPr>
          <w:rFonts w:ascii="FrankRuehl"/>
          <w:b/>
          <w:bCs/>
          <w:i/>
          <w:iCs/>
          <w:noProof w:val="0"/>
        </w:rPr>
        <w:t>-</w:t>
      </w:r>
      <w:r w:rsidRPr="00901746">
        <w:rPr>
          <w:rFonts w:ascii="FrankRuehl"/>
          <w:b/>
          <w:bCs/>
          <w:i/>
          <w:iCs/>
          <w:noProof w:val="0"/>
          <w:rtl/>
        </w:rPr>
        <w:t>דין</w:t>
      </w:r>
      <w:r w:rsidRPr="00901746">
        <w:rPr>
          <w:rFonts w:ascii="FrankRuehl"/>
          <w:b/>
          <w:bCs/>
          <w:i/>
          <w:iCs/>
          <w:noProof w:val="0"/>
        </w:rPr>
        <w:t xml:space="preserve"> </w:t>
      </w:r>
      <w:r w:rsidRPr="00901746">
        <w:rPr>
          <w:rFonts w:ascii="FrankRuehl"/>
          <w:b/>
          <w:bCs/>
          <w:i/>
          <w:iCs/>
          <w:noProof w:val="0"/>
          <w:rtl/>
        </w:rPr>
        <w:t>אלה</w:t>
      </w:r>
      <w:r w:rsidRPr="00901746">
        <w:rPr>
          <w:rFonts w:ascii="FrankRuehl"/>
          <w:b/>
          <w:bCs/>
          <w:i/>
          <w:iCs/>
          <w:noProof w:val="0"/>
        </w:rPr>
        <w:t xml:space="preserve"> </w:t>
      </w:r>
      <w:r w:rsidRPr="00901746">
        <w:rPr>
          <w:rFonts w:ascii="FrankRuehl"/>
          <w:b/>
          <w:bCs/>
          <w:i/>
          <w:iCs/>
          <w:noProof w:val="0"/>
          <w:rtl/>
        </w:rPr>
        <w:t>עסקו</w:t>
      </w:r>
      <w:r w:rsidRPr="00901746">
        <w:rPr>
          <w:rFonts w:ascii="FrankRuehl"/>
          <w:b/>
          <w:bCs/>
          <w:i/>
          <w:iCs/>
          <w:noProof w:val="0"/>
        </w:rPr>
        <w:t xml:space="preserve"> </w:t>
      </w:r>
      <w:r w:rsidRPr="00901746">
        <w:rPr>
          <w:rFonts w:ascii="FrankRuehl"/>
          <w:b/>
          <w:bCs/>
          <w:i/>
          <w:iCs/>
          <w:noProof w:val="0"/>
          <w:rtl/>
        </w:rPr>
        <w:t>בחוזים שנקבעו</w:t>
      </w:r>
      <w:r w:rsidRPr="00901746">
        <w:rPr>
          <w:rFonts w:ascii="FrankRuehl"/>
          <w:b/>
          <w:bCs/>
          <w:i/>
          <w:iCs/>
          <w:noProof w:val="0"/>
        </w:rPr>
        <w:t xml:space="preserve"> </w:t>
      </w:r>
      <w:r w:rsidRPr="00901746">
        <w:rPr>
          <w:rFonts w:ascii="FrankRuehl"/>
          <w:b/>
          <w:bCs/>
          <w:i/>
          <w:iCs/>
          <w:noProof w:val="0"/>
          <w:rtl/>
        </w:rPr>
        <w:t>בהם</w:t>
      </w:r>
      <w:r w:rsidRPr="00901746">
        <w:rPr>
          <w:rFonts w:ascii="FrankRuehl"/>
          <w:b/>
          <w:bCs/>
          <w:i/>
          <w:iCs/>
          <w:noProof w:val="0"/>
        </w:rPr>
        <w:t xml:space="preserve"> </w:t>
      </w:r>
      <w:r w:rsidRPr="00901746">
        <w:rPr>
          <w:rFonts w:ascii="FrankRuehl"/>
          <w:b/>
          <w:bCs/>
          <w:i/>
          <w:iCs/>
          <w:noProof w:val="0"/>
          <w:rtl/>
        </w:rPr>
        <w:t>חיובים</w:t>
      </w:r>
      <w:r w:rsidRPr="00901746">
        <w:rPr>
          <w:rFonts w:ascii="FrankRuehl"/>
          <w:b/>
          <w:bCs/>
          <w:i/>
          <w:iCs/>
          <w:noProof w:val="0"/>
        </w:rPr>
        <w:t xml:space="preserve"> </w:t>
      </w:r>
      <w:r w:rsidRPr="00901746">
        <w:rPr>
          <w:rFonts w:ascii="FrankRuehl"/>
          <w:b/>
          <w:bCs/>
          <w:i/>
          <w:iCs/>
          <w:noProof w:val="0"/>
          <w:rtl/>
        </w:rPr>
        <w:t>הדדיים,</w:t>
      </w:r>
      <w:r w:rsidRPr="00901746">
        <w:rPr>
          <w:rFonts w:ascii="FrankRuehl"/>
          <w:b/>
          <w:bCs/>
          <w:i/>
          <w:iCs/>
          <w:noProof w:val="0"/>
        </w:rPr>
        <w:t xml:space="preserve"> </w:t>
      </w:r>
      <w:r w:rsidRPr="00901746">
        <w:rPr>
          <w:rFonts w:ascii="FrankRuehl"/>
          <w:b/>
          <w:bCs/>
          <w:i/>
          <w:iCs/>
          <w:noProof w:val="0"/>
          <w:rtl/>
        </w:rPr>
        <w:t>ולא</w:t>
      </w:r>
      <w:r w:rsidRPr="00901746">
        <w:rPr>
          <w:rFonts w:ascii="FrankRuehl"/>
          <w:b/>
          <w:bCs/>
          <w:i/>
          <w:iCs/>
          <w:noProof w:val="0"/>
        </w:rPr>
        <w:t xml:space="preserve"> </w:t>
      </w:r>
      <w:r w:rsidRPr="00901746">
        <w:rPr>
          <w:rFonts w:ascii="FrankRuehl"/>
          <w:b/>
          <w:bCs/>
          <w:i/>
          <w:iCs/>
          <w:noProof w:val="0"/>
          <w:rtl/>
        </w:rPr>
        <w:t>בפעולות</w:t>
      </w:r>
      <w:r w:rsidRPr="00901746">
        <w:rPr>
          <w:rFonts w:ascii="FrankRuehl"/>
          <w:b/>
          <w:bCs/>
          <w:i/>
          <w:iCs/>
          <w:noProof w:val="0"/>
        </w:rPr>
        <w:t xml:space="preserve"> </w:t>
      </w:r>
      <w:r w:rsidRPr="00901746">
        <w:rPr>
          <w:rFonts w:ascii="FrankRuehl"/>
          <w:b/>
          <w:bCs/>
          <w:i/>
          <w:iCs/>
          <w:noProof w:val="0"/>
          <w:rtl/>
        </w:rPr>
        <w:t>משפטיות</w:t>
      </w:r>
      <w:r w:rsidRPr="00901746">
        <w:rPr>
          <w:rFonts w:ascii="FrankRuehl"/>
          <w:b/>
          <w:bCs/>
          <w:i/>
          <w:iCs/>
          <w:noProof w:val="0"/>
        </w:rPr>
        <w:t xml:space="preserve"> </w:t>
      </w:r>
      <w:r w:rsidRPr="00901746">
        <w:rPr>
          <w:rFonts w:ascii="FrankRuehl"/>
          <w:b/>
          <w:bCs/>
          <w:i/>
          <w:iCs/>
          <w:noProof w:val="0"/>
          <w:rtl/>
        </w:rPr>
        <w:t>שמגלמות</w:t>
      </w:r>
      <w:r w:rsidRPr="00901746">
        <w:rPr>
          <w:rFonts w:ascii="FrankRuehl"/>
          <w:b/>
          <w:bCs/>
          <w:i/>
          <w:iCs/>
          <w:noProof w:val="0"/>
        </w:rPr>
        <w:t xml:space="preserve"> </w:t>
      </w:r>
      <w:r w:rsidRPr="00901746">
        <w:rPr>
          <w:rFonts w:ascii="FrankRuehl"/>
          <w:b/>
          <w:bCs/>
          <w:i/>
          <w:iCs/>
          <w:noProof w:val="0"/>
          <w:rtl/>
        </w:rPr>
        <w:t>בתוכן הענקות</w:t>
      </w:r>
      <w:r w:rsidRPr="00901746">
        <w:rPr>
          <w:rFonts w:ascii="FrankRuehl"/>
          <w:b/>
          <w:bCs/>
          <w:i/>
          <w:iCs/>
          <w:noProof w:val="0"/>
        </w:rPr>
        <w:t xml:space="preserve"> </w:t>
      </w:r>
      <w:r w:rsidRPr="00901746">
        <w:rPr>
          <w:rFonts w:ascii="FrankRuehl"/>
          <w:b/>
          <w:bCs/>
          <w:i/>
          <w:iCs/>
          <w:noProof w:val="0"/>
          <w:rtl/>
        </w:rPr>
        <w:t>חד</w:t>
      </w:r>
      <w:r w:rsidRPr="00901746">
        <w:rPr>
          <w:rFonts w:ascii="FrankRuehl"/>
          <w:b/>
          <w:bCs/>
          <w:i/>
          <w:iCs/>
          <w:noProof w:val="0"/>
        </w:rPr>
        <w:t>-</w:t>
      </w:r>
      <w:r w:rsidRPr="00901746">
        <w:rPr>
          <w:rFonts w:ascii="FrankRuehl"/>
          <w:b/>
          <w:bCs/>
          <w:i/>
          <w:iCs/>
          <w:noProof w:val="0"/>
          <w:rtl/>
        </w:rPr>
        <w:t>צדדיות</w:t>
      </w:r>
      <w:r w:rsidRPr="00901746">
        <w:rPr>
          <w:rFonts w:ascii="FrankRuehl"/>
          <w:b/>
          <w:bCs/>
          <w:i/>
          <w:iCs/>
          <w:noProof w:val="0"/>
        </w:rPr>
        <w:t xml:space="preserve">. </w:t>
      </w:r>
      <w:r w:rsidRPr="00901746">
        <w:rPr>
          <w:rFonts w:ascii="FrankRuehl"/>
          <w:b/>
          <w:bCs/>
          <w:i/>
          <w:iCs/>
          <w:noProof w:val="0"/>
          <w:rtl/>
        </w:rPr>
        <w:t>על</w:t>
      </w:r>
      <w:r w:rsidRPr="00901746">
        <w:rPr>
          <w:rFonts w:ascii="FrankRuehl"/>
          <w:b/>
          <w:bCs/>
          <w:i/>
          <w:iCs/>
          <w:noProof w:val="0"/>
        </w:rPr>
        <w:t>-</w:t>
      </w:r>
      <w:r w:rsidRPr="00901746">
        <w:rPr>
          <w:rFonts w:ascii="FrankRuehl"/>
          <w:b/>
          <w:bCs/>
          <w:i/>
          <w:iCs/>
          <w:noProof w:val="0"/>
          <w:rtl/>
        </w:rPr>
        <w:t>כן</w:t>
      </w:r>
      <w:r w:rsidRPr="00901746">
        <w:rPr>
          <w:rFonts w:ascii="FrankRuehl"/>
          <w:b/>
          <w:bCs/>
          <w:i/>
          <w:iCs/>
          <w:noProof w:val="0"/>
        </w:rPr>
        <w:t xml:space="preserve"> </w:t>
      </w:r>
      <w:r w:rsidRPr="00901746">
        <w:rPr>
          <w:rFonts w:ascii="FrankRuehl"/>
          <w:b/>
          <w:bCs/>
          <w:i/>
          <w:iCs/>
          <w:noProof w:val="0"/>
          <w:rtl/>
        </w:rPr>
        <w:t>דעתי</w:t>
      </w:r>
      <w:r w:rsidRPr="00901746">
        <w:rPr>
          <w:rFonts w:ascii="FrankRuehl"/>
          <w:b/>
          <w:bCs/>
          <w:i/>
          <w:iCs/>
          <w:noProof w:val="0"/>
        </w:rPr>
        <w:t xml:space="preserve"> </w:t>
      </w:r>
      <w:r w:rsidRPr="00901746">
        <w:rPr>
          <w:rFonts w:ascii="FrankRuehl"/>
          <w:b/>
          <w:bCs/>
          <w:i/>
          <w:iCs/>
          <w:noProof w:val="0"/>
          <w:rtl/>
        </w:rPr>
        <w:t>היא</w:t>
      </w:r>
      <w:r w:rsidRPr="00901746">
        <w:rPr>
          <w:rFonts w:ascii="FrankRuehl"/>
          <w:b/>
          <w:bCs/>
          <w:i/>
          <w:iCs/>
          <w:noProof w:val="0"/>
        </w:rPr>
        <w:t xml:space="preserve"> </w:t>
      </w:r>
      <w:r w:rsidRPr="00901746">
        <w:rPr>
          <w:rFonts w:asciiTheme="minorHAnsi" w:hAnsiTheme="minorHAnsi"/>
          <w:b/>
          <w:bCs/>
          <w:i/>
          <w:iCs/>
          <w:noProof w:val="0"/>
          <w:rtl/>
        </w:rPr>
        <w:t>,</w:t>
      </w:r>
      <w:r w:rsidRPr="00901746">
        <w:rPr>
          <w:rFonts w:ascii="FrankRuehl"/>
          <w:b/>
          <w:bCs/>
          <w:i/>
          <w:iCs/>
          <w:noProof w:val="0"/>
          <w:rtl/>
        </w:rPr>
        <w:t>שאין</w:t>
      </w:r>
      <w:r w:rsidRPr="00901746">
        <w:rPr>
          <w:rFonts w:ascii="FrankRuehl"/>
          <w:b/>
          <w:bCs/>
          <w:i/>
          <w:iCs/>
          <w:noProof w:val="0"/>
        </w:rPr>
        <w:t xml:space="preserve"> </w:t>
      </w:r>
      <w:r w:rsidRPr="00901746">
        <w:rPr>
          <w:rFonts w:ascii="FrankRuehl"/>
          <w:b/>
          <w:bCs/>
          <w:i/>
          <w:iCs/>
          <w:noProof w:val="0"/>
          <w:rtl/>
        </w:rPr>
        <w:t>לראות</w:t>
      </w:r>
      <w:r w:rsidRPr="00901746">
        <w:rPr>
          <w:rFonts w:ascii="FrankRuehl"/>
          <w:b/>
          <w:bCs/>
          <w:i/>
          <w:iCs/>
          <w:noProof w:val="0"/>
        </w:rPr>
        <w:t xml:space="preserve"> </w:t>
      </w:r>
      <w:r w:rsidRPr="00901746">
        <w:rPr>
          <w:rFonts w:ascii="FrankRuehl"/>
          <w:b/>
          <w:bCs/>
          <w:i/>
          <w:iCs/>
          <w:noProof w:val="0"/>
          <w:rtl/>
        </w:rPr>
        <w:t>בהלכה</w:t>
      </w:r>
      <w:r w:rsidRPr="00901746">
        <w:rPr>
          <w:rFonts w:ascii="FrankRuehl"/>
          <w:b/>
          <w:bCs/>
          <w:i/>
          <w:iCs/>
          <w:noProof w:val="0"/>
        </w:rPr>
        <w:t xml:space="preserve"> </w:t>
      </w:r>
      <w:r w:rsidRPr="00901746">
        <w:rPr>
          <w:rFonts w:ascii="FrankRuehl"/>
          <w:b/>
          <w:bCs/>
          <w:i/>
          <w:iCs/>
          <w:noProof w:val="0"/>
          <w:rtl/>
        </w:rPr>
        <w:t>שהתגבשה בפסקי</w:t>
      </w:r>
      <w:r w:rsidRPr="00901746">
        <w:rPr>
          <w:rFonts w:ascii="FrankRuehl"/>
          <w:b/>
          <w:bCs/>
          <w:i/>
          <w:iCs/>
          <w:noProof w:val="0"/>
        </w:rPr>
        <w:t xml:space="preserve"> </w:t>
      </w:r>
      <w:r w:rsidRPr="00901746">
        <w:rPr>
          <w:rFonts w:ascii="FrankRuehl"/>
          <w:b/>
          <w:bCs/>
          <w:i/>
          <w:iCs/>
          <w:noProof w:val="0"/>
          <w:rtl/>
        </w:rPr>
        <w:t>הדין</w:t>
      </w:r>
      <w:r w:rsidRPr="00901746">
        <w:rPr>
          <w:rFonts w:ascii="FrankRuehl"/>
          <w:b/>
          <w:bCs/>
          <w:i/>
          <w:iCs/>
          <w:noProof w:val="0"/>
        </w:rPr>
        <w:t xml:space="preserve"> </w:t>
      </w:r>
      <w:r w:rsidRPr="00901746">
        <w:rPr>
          <w:rFonts w:ascii="FrankRuehl"/>
          <w:b/>
          <w:bCs/>
          <w:i/>
          <w:iCs/>
          <w:noProof w:val="0"/>
          <w:rtl/>
        </w:rPr>
        <w:t>האמורים</w:t>
      </w:r>
      <w:r w:rsidRPr="00901746">
        <w:rPr>
          <w:rFonts w:ascii="FrankRuehl"/>
          <w:b/>
          <w:bCs/>
          <w:i/>
          <w:iCs/>
          <w:noProof w:val="0"/>
        </w:rPr>
        <w:t xml:space="preserve"> </w:t>
      </w:r>
      <w:r w:rsidRPr="00901746">
        <w:rPr>
          <w:rFonts w:ascii="FrankRuehl"/>
          <w:b/>
          <w:bCs/>
          <w:i/>
          <w:iCs/>
          <w:noProof w:val="0"/>
          <w:rtl/>
        </w:rPr>
        <w:t>שלילה</w:t>
      </w:r>
      <w:r w:rsidRPr="00901746">
        <w:rPr>
          <w:rFonts w:ascii="FrankRuehl"/>
          <w:b/>
          <w:bCs/>
          <w:i/>
          <w:iCs/>
          <w:noProof w:val="0"/>
        </w:rPr>
        <w:t xml:space="preserve"> </w:t>
      </w:r>
      <w:r w:rsidRPr="00901746">
        <w:rPr>
          <w:rFonts w:ascii="FrankRuehl"/>
          <w:b/>
          <w:bCs/>
          <w:i/>
          <w:iCs/>
          <w:noProof w:val="0"/>
          <w:rtl/>
        </w:rPr>
        <w:t>של</w:t>
      </w:r>
      <w:r w:rsidRPr="00901746">
        <w:rPr>
          <w:rFonts w:ascii="FrankRuehl"/>
          <w:b/>
          <w:bCs/>
          <w:i/>
          <w:iCs/>
          <w:noProof w:val="0"/>
        </w:rPr>
        <w:t xml:space="preserve"> </w:t>
      </w:r>
      <w:r w:rsidRPr="00901746">
        <w:rPr>
          <w:rFonts w:ascii="FrankRuehl"/>
          <w:b/>
          <w:bCs/>
          <w:i/>
          <w:iCs/>
          <w:noProof w:val="0"/>
          <w:rtl/>
        </w:rPr>
        <w:t>האפשרות</w:t>
      </w:r>
      <w:r w:rsidRPr="00901746">
        <w:rPr>
          <w:rFonts w:ascii="FrankRuehl"/>
          <w:b/>
          <w:bCs/>
          <w:i/>
          <w:iCs/>
          <w:noProof w:val="0"/>
        </w:rPr>
        <w:t xml:space="preserve"> </w:t>
      </w:r>
      <w:r w:rsidRPr="00901746">
        <w:rPr>
          <w:rFonts w:ascii="FrankRuehl"/>
          <w:b/>
          <w:bCs/>
          <w:i/>
          <w:iCs/>
          <w:noProof w:val="0"/>
          <w:rtl/>
        </w:rPr>
        <w:t>לעשות</w:t>
      </w:r>
      <w:r w:rsidRPr="00901746">
        <w:rPr>
          <w:rFonts w:ascii="FrankRuehl"/>
          <w:b/>
          <w:bCs/>
          <w:i/>
          <w:iCs/>
          <w:noProof w:val="0"/>
        </w:rPr>
        <w:t xml:space="preserve"> </w:t>
      </w:r>
      <w:r w:rsidRPr="00901746">
        <w:rPr>
          <w:rFonts w:ascii="FrankRuehl"/>
          <w:b/>
          <w:bCs/>
          <w:i/>
          <w:iCs/>
          <w:noProof w:val="0"/>
          <w:rtl/>
        </w:rPr>
        <w:t>שימוש</w:t>
      </w:r>
      <w:r w:rsidRPr="00901746">
        <w:rPr>
          <w:rFonts w:ascii="FrankRuehl"/>
          <w:b/>
          <w:bCs/>
          <w:i/>
          <w:iCs/>
          <w:noProof w:val="0"/>
        </w:rPr>
        <w:t xml:space="preserve"> </w:t>
      </w:r>
      <w:r w:rsidRPr="00901746">
        <w:rPr>
          <w:rFonts w:ascii="FrankRuehl"/>
          <w:b/>
          <w:bCs/>
          <w:i/>
          <w:iCs/>
          <w:noProof w:val="0"/>
          <w:rtl/>
        </w:rPr>
        <w:t>בדיני ההשפעה</w:t>
      </w:r>
      <w:r w:rsidRPr="00901746">
        <w:rPr>
          <w:rFonts w:ascii="FrankRuehl"/>
          <w:b/>
          <w:bCs/>
          <w:i/>
          <w:iCs/>
          <w:noProof w:val="0"/>
        </w:rPr>
        <w:t xml:space="preserve"> </w:t>
      </w:r>
      <w:r w:rsidRPr="00901746">
        <w:rPr>
          <w:rFonts w:ascii="FrankRuehl"/>
          <w:b/>
          <w:bCs/>
          <w:i/>
          <w:iCs/>
          <w:noProof w:val="0"/>
          <w:rtl/>
        </w:rPr>
        <w:t>הבלתי</w:t>
      </w:r>
      <w:r w:rsidRPr="00901746">
        <w:rPr>
          <w:rFonts w:ascii="FrankRuehl"/>
          <w:b/>
          <w:bCs/>
          <w:i/>
          <w:iCs/>
          <w:noProof w:val="0"/>
        </w:rPr>
        <w:t xml:space="preserve"> </w:t>
      </w:r>
      <w:r w:rsidRPr="00901746">
        <w:rPr>
          <w:rFonts w:ascii="FrankRuehl"/>
          <w:b/>
          <w:bCs/>
          <w:i/>
          <w:iCs/>
          <w:noProof w:val="0"/>
          <w:rtl/>
        </w:rPr>
        <w:t>הוגנת</w:t>
      </w:r>
      <w:r w:rsidRPr="00901746">
        <w:rPr>
          <w:rFonts w:ascii="FrankRuehl"/>
          <w:b/>
          <w:bCs/>
          <w:i/>
          <w:iCs/>
          <w:noProof w:val="0"/>
        </w:rPr>
        <w:t xml:space="preserve"> </w:t>
      </w:r>
      <w:r w:rsidRPr="00901746">
        <w:rPr>
          <w:rFonts w:ascii="FrankRuehl"/>
          <w:b/>
          <w:bCs/>
          <w:i/>
          <w:iCs/>
          <w:noProof w:val="0"/>
          <w:rtl/>
        </w:rPr>
        <w:t>בחוזים</w:t>
      </w:r>
      <w:r w:rsidRPr="00901746">
        <w:rPr>
          <w:rFonts w:ascii="FrankRuehl"/>
          <w:b/>
          <w:bCs/>
          <w:i/>
          <w:iCs/>
          <w:noProof w:val="0"/>
        </w:rPr>
        <w:t xml:space="preserve"> </w:t>
      </w:r>
      <w:r w:rsidRPr="00901746">
        <w:rPr>
          <w:rFonts w:ascii="FrankRuehl"/>
          <w:b/>
          <w:bCs/>
          <w:i/>
          <w:iCs/>
          <w:noProof w:val="0"/>
          <w:rtl/>
        </w:rPr>
        <w:t>ובפעולות</w:t>
      </w:r>
      <w:r w:rsidRPr="00901746">
        <w:rPr>
          <w:rFonts w:ascii="FrankRuehl"/>
          <w:b/>
          <w:bCs/>
          <w:i/>
          <w:iCs/>
          <w:noProof w:val="0"/>
        </w:rPr>
        <w:t xml:space="preserve"> </w:t>
      </w:r>
      <w:r w:rsidRPr="00901746">
        <w:rPr>
          <w:rFonts w:ascii="FrankRuehl"/>
          <w:b/>
          <w:bCs/>
          <w:i/>
          <w:iCs/>
          <w:noProof w:val="0"/>
          <w:rtl/>
        </w:rPr>
        <w:t>משפטיות</w:t>
      </w:r>
      <w:r w:rsidRPr="00901746">
        <w:rPr>
          <w:rFonts w:ascii="FrankRuehl"/>
          <w:b/>
          <w:bCs/>
          <w:i/>
          <w:iCs/>
          <w:noProof w:val="0"/>
        </w:rPr>
        <w:t xml:space="preserve"> </w:t>
      </w:r>
      <w:r w:rsidRPr="00901746">
        <w:rPr>
          <w:rFonts w:ascii="FrankRuehl"/>
          <w:b/>
          <w:bCs/>
          <w:i/>
          <w:iCs/>
          <w:noProof w:val="0"/>
          <w:rtl/>
        </w:rPr>
        <w:t>אחרות</w:t>
      </w:r>
      <w:r w:rsidRPr="00901746">
        <w:rPr>
          <w:rFonts w:ascii="FrankRuehl"/>
          <w:b/>
          <w:bCs/>
          <w:i/>
          <w:iCs/>
          <w:noProof w:val="0"/>
        </w:rPr>
        <w:t xml:space="preserve">, </w:t>
      </w:r>
      <w:r w:rsidRPr="00901746">
        <w:rPr>
          <w:rFonts w:ascii="FrankRuehl"/>
          <w:b/>
          <w:bCs/>
          <w:i/>
          <w:iCs/>
          <w:noProof w:val="0"/>
          <w:rtl/>
        </w:rPr>
        <w:t>שיש</w:t>
      </w:r>
      <w:r w:rsidRPr="00901746">
        <w:rPr>
          <w:rFonts w:ascii="FrankRuehl"/>
          <w:b/>
          <w:bCs/>
          <w:i/>
          <w:iCs/>
          <w:noProof w:val="0"/>
        </w:rPr>
        <w:t xml:space="preserve"> </w:t>
      </w:r>
      <w:r w:rsidRPr="00901746">
        <w:rPr>
          <w:rFonts w:ascii="FrankRuehl"/>
          <w:b/>
          <w:bCs/>
          <w:i/>
          <w:iCs/>
          <w:noProof w:val="0"/>
          <w:rtl/>
        </w:rPr>
        <w:t>בהם הענקות</w:t>
      </w:r>
      <w:r w:rsidRPr="00901746">
        <w:rPr>
          <w:rFonts w:ascii="FrankRuehl"/>
          <w:b/>
          <w:bCs/>
          <w:i/>
          <w:iCs/>
          <w:noProof w:val="0"/>
        </w:rPr>
        <w:t xml:space="preserve"> </w:t>
      </w:r>
      <w:r w:rsidRPr="00901746">
        <w:rPr>
          <w:rFonts w:ascii="FrankRuehl"/>
          <w:b/>
          <w:bCs/>
          <w:i/>
          <w:iCs/>
          <w:noProof w:val="0"/>
          <w:rtl/>
        </w:rPr>
        <w:t>חד</w:t>
      </w:r>
      <w:r w:rsidRPr="00901746">
        <w:rPr>
          <w:rFonts w:ascii="FrankRuehl"/>
          <w:b/>
          <w:bCs/>
          <w:i/>
          <w:iCs/>
          <w:noProof w:val="0"/>
        </w:rPr>
        <w:t>-</w:t>
      </w:r>
      <w:r w:rsidRPr="00901746">
        <w:rPr>
          <w:rFonts w:ascii="FrankRuehl"/>
          <w:b/>
          <w:bCs/>
          <w:i/>
          <w:iCs/>
          <w:noProof w:val="0"/>
          <w:rtl/>
        </w:rPr>
        <w:t>צדדיות</w:t>
      </w:r>
      <w:r w:rsidRPr="00901746">
        <w:rPr>
          <w:rFonts w:ascii="FrankRuehl"/>
          <w:b/>
          <w:bCs/>
          <w:i/>
          <w:iCs/>
          <w:noProof w:val="0"/>
        </w:rPr>
        <w:t xml:space="preserve"> </w:t>
      </w:r>
      <w:r w:rsidRPr="00901746">
        <w:rPr>
          <w:rFonts w:ascii="FrankRuehl"/>
          <w:b/>
          <w:bCs/>
          <w:i/>
          <w:iCs/>
          <w:noProof w:val="0"/>
          <w:rtl/>
        </w:rPr>
        <w:t>ולא</w:t>
      </w:r>
      <w:r w:rsidRPr="00901746">
        <w:rPr>
          <w:rFonts w:ascii="FrankRuehl"/>
          <w:b/>
          <w:bCs/>
          <w:i/>
          <w:iCs/>
          <w:noProof w:val="0"/>
        </w:rPr>
        <w:t xml:space="preserve"> </w:t>
      </w:r>
      <w:r w:rsidRPr="00901746">
        <w:rPr>
          <w:rFonts w:ascii="FrankRuehl"/>
          <w:b/>
          <w:bCs/>
          <w:i/>
          <w:iCs/>
          <w:noProof w:val="0"/>
          <w:rtl/>
        </w:rPr>
        <w:t>חיובים</w:t>
      </w:r>
      <w:r w:rsidRPr="00901746">
        <w:rPr>
          <w:rFonts w:ascii="FrankRuehl"/>
          <w:b/>
          <w:bCs/>
          <w:i/>
          <w:iCs/>
          <w:noProof w:val="0"/>
        </w:rPr>
        <w:t xml:space="preserve"> </w:t>
      </w:r>
      <w:r>
        <w:rPr>
          <w:rFonts w:ascii="FrankRuehl"/>
          <w:b/>
          <w:bCs/>
          <w:i/>
          <w:iCs/>
          <w:noProof w:val="0"/>
          <w:rtl/>
        </w:rPr>
        <w:t>הדדיי</w:t>
      </w:r>
      <w:r>
        <w:rPr>
          <w:rFonts w:ascii="FrankRuehl" w:hint="cs"/>
          <w:b/>
          <w:bCs/>
          <w:i/>
          <w:iCs/>
          <w:noProof w:val="0"/>
          <w:rtl/>
        </w:rPr>
        <w:t>ם."</w:t>
      </w:r>
    </w:p>
    <w:p w:rsidR="00A57DDA" w:rsidRDefault="00A57DDA" w:rsidP="00A57DDA">
      <w:pPr>
        <w:spacing w:line="360" w:lineRule="auto"/>
        <w:ind w:firstLine="360"/>
        <w:jc w:val="both"/>
        <w:rPr>
          <w:rFonts w:ascii="Arial" w:hAnsi="Arial"/>
          <w:noProof w:val="0"/>
          <w:rtl/>
        </w:rPr>
      </w:pPr>
      <w:r>
        <w:rPr>
          <w:rFonts w:ascii="Arial" w:hAnsi="Arial" w:hint="cs"/>
          <w:noProof w:val="0"/>
          <w:rtl/>
        </w:rPr>
        <w:t xml:space="preserve">(ראה: תמ"ש (ת"א) 11742-11-17 </w:t>
      </w:r>
      <w:r w:rsidRPr="003B6350">
        <w:rPr>
          <w:rFonts w:ascii="Arial" w:hAnsi="Arial" w:hint="cs"/>
          <w:b/>
          <w:bCs/>
          <w:noProof w:val="0"/>
          <w:rtl/>
        </w:rPr>
        <w:t>ר. א. נ' דר' ח. א</w:t>
      </w:r>
      <w:r>
        <w:rPr>
          <w:rFonts w:ascii="Arial" w:hAnsi="Arial" w:hint="cs"/>
          <w:noProof w:val="0"/>
          <w:rtl/>
        </w:rPr>
        <w:t xml:space="preserve">. {פמ"מ </w:t>
      </w:r>
      <w:r>
        <w:rPr>
          <w:rFonts w:ascii="Arial" w:hAnsi="Arial"/>
          <w:noProof w:val="0"/>
          <w:rtl/>
        </w:rPr>
        <w:t>–</w:t>
      </w:r>
      <w:r>
        <w:rPr>
          <w:rFonts w:ascii="Arial" w:hAnsi="Arial" w:hint="cs"/>
          <w:noProof w:val="0"/>
          <w:rtl/>
        </w:rPr>
        <w:t xml:space="preserve"> 15.05.2019} {להלן: </w:t>
      </w:r>
      <w:r w:rsidRPr="00E83F9F">
        <w:rPr>
          <w:rFonts w:ascii="Arial" w:hAnsi="Arial" w:hint="cs"/>
          <w:b/>
          <w:bCs/>
          <w:noProof w:val="0"/>
          <w:rtl/>
        </w:rPr>
        <w:t>"תמ"ש 11742-11-17</w:t>
      </w:r>
      <w:r>
        <w:rPr>
          <w:rFonts w:ascii="Arial" w:hAnsi="Arial" w:hint="cs"/>
          <w:noProof w:val="0"/>
          <w:rtl/>
        </w:rPr>
        <w:t>"}).</w:t>
      </w:r>
    </w:p>
    <w:p w:rsidR="00A57DDA" w:rsidRPr="00E8567F" w:rsidRDefault="00A57DDA" w:rsidP="00A57DDA">
      <w:pPr>
        <w:spacing w:line="360" w:lineRule="auto"/>
        <w:jc w:val="both"/>
        <w:rPr>
          <w:rFonts w:ascii="Arial" w:hAnsi="Arial"/>
          <w:noProof w:val="0"/>
        </w:rPr>
      </w:pPr>
    </w:p>
    <w:p w:rsidR="00A57DDA" w:rsidRDefault="00A57DDA" w:rsidP="00A57DDA">
      <w:pPr>
        <w:pStyle w:val="af1"/>
        <w:numPr>
          <w:ilvl w:val="0"/>
          <w:numId w:val="1"/>
        </w:numPr>
        <w:spacing w:line="360" w:lineRule="auto"/>
        <w:jc w:val="both"/>
        <w:rPr>
          <w:rFonts w:ascii="Arial" w:hAnsi="Arial"/>
          <w:noProof w:val="0"/>
        </w:rPr>
      </w:pPr>
      <w:r w:rsidRPr="00901746">
        <w:rPr>
          <w:rFonts w:ascii="David"/>
          <w:noProof w:val="0"/>
          <w:rtl/>
        </w:rPr>
        <w:t>בעקבות</w:t>
      </w:r>
      <w:r w:rsidRPr="00901746">
        <w:rPr>
          <w:rFonts w:ascii="David"/>
          <w:noProof w:val="0"/>
        </w:rPr>
        <w:t xml:space="preserve"> </w:t>
      </w:r>
      <w:r w:rsidRPr="00901746">
        <w:rPr>
          <w:rFonts w:ascii="David"/>
          <w:noProof w:val="0"/>
          <w:rtl/>
        </w:rPr>
        <w:t>פסק</w:t>
      </w:r>
      <w:r w:rsidRPr="00901746">
        <w:rPr>
          <w:rFonts w:ascii="David"/>
          <w:noProof w:val="0"/>
        </w:rPr>
        <w:t xml:space="preserve"> </w:t>
      </w:r>
      <w:r w:rsidRPr="00901746">
        <w:rPr>
          <w:rFonts w:ascii="David"/>
          <w:noProof w:val="0"/>
          <w:rtl/>
        </w:rPr>
        <w:t>הדין</w:t>
      </w:r>
      <w:r w:rsidRPr="00901746">
        <w:rPr>
          <w:rFonts w:ascii="David"/>
          <w:noProof w:val="0"/>
        </w:rPr>
        <w:t xml:space="preserve"> </w:t>
      </w:r>
      <w:r w:rsidRPr="00901746">
        <w:rPr>
          <w:rFonts w:ascii="David"/>
          <w:noProof w:val="0"/>
          <w:rtl/>
        </w:rPr>
        <w:t>בעניין</w:t>
      </w:r>
      <w:r w:rsidRPr="00901746">
        <w:rPr>
          <w:rFonts w:ascii="David"/>
          <w:noProof w:val="0"/>
        </w:rPr>
        <w:t xml:space="preserve"> </w:t>
      </w:r>
      <w:r w:rsidRPr="00901746">
        <w:rPr>
          <w:rFonts w:ascii="David"/>
          <w:noProof w:val="0"/>
          <w:rtl/>
        </w:rPr>
        <w:t>עיזבון</w:t>
      </w:r>
      <w:r w:rsidRPr="00901746">
        <w:rPr>
          <w:rFonts w:ascii="David"/>
          <w:noProof w:val="0"/>
        </w:rPr>
        <w:t xml:space="preserve"> </w:t>
      </w:r>
      <w:r>
        <w:rPr>
          <w:rFonts w:ascii="David"/>
          <w:noProof w:val="0"/>
          <w:rtl/>
        </w:rPr>
        <w:t>י</w:t>
      </w:r>
      <w:r>
        <w:rPr>
          <w:rFonts w:ascii="David" w:hint="cs"/>
          <w:noProof w:val="0"/>
          <w:rtl/>
        </w:rPr>
        <w:t>פה,</w:t>
      </w:r>
      <w:r w:rsidRPr="00901746">
        <w:rPr>
          <w:rFonts w:ascii="David"/>
          <w:noProof w:val="0"/>
        </w:rPr>
        <w:t xml:space="preserve"> </w:t>
      </w:r>
      <w:r w:rsidRPr="00901746">
        <w:rPr>
          <w:rFonts w:ascii="David"/>
          <w:noProof w:val="0"/>
          <w:rtl/>
        </w:rPr>
        <w:t xml:space="preserve"> </w:t>
      </w:r>
      <w:r w:rsidRPr="00901746">
        <w:rPr>
          <w:rFonts w:ascii="David" w:hint="cs"/>
          <w:noProof w:val="0"/>
          <w:rtl/>
        </w:rPr>
        <w:t>ראו</w:t>
      </w:r>
      <w:r w:rsidRPr="00901746">
        <w:rPr>
          <w:rFonts w:ascii="David"/>
          <w:noProof w:val="0"/>
        </w:rPr>
        <w:t xml:space="preserve"> </w:t>
      </w:r>
      <w:r w:rsidRPr="00901746">
        <w:rPr>
          <w:rFonts w:ascii="David"/>
          <w:noProof w:val="0"/>
          <w:rtl/>
        </w:rPr>
        <w:t>ערכאות</w:t>
      </w:r>
      <w:r w:rsidRPr="00901746">
        <w:rPr>
          <w:rFonts w:ascii="David"/>
          <w:noProof w:val="0"/>
        </w:rPr>
        <w:t xml:space="preserve"> </w:t>
      </w:r>
      <w:r w:rsidRPr="00901746">
        <w:rPr>
          <w:rFonts w:ascii="David"/>
          <w:noProof w:val="0"/>
          <w:rtl/>
        </w:rPr>
        <w:t xml:space="preserve">נוספות </w:t>
      </w:r>
      <w:r w:rsidRPr="00901746">
        <w:rPr>
          <w:rFonts w:ascii="David" w:hint="cs"/>
          <w:noProof w:val="0"/>
          <w:rtl/>
        </w:rPr>
        <w:t>לרבות</w:t>
      </w:r>
      <w:r w:rsidRPr="00901746">
        <w:rPr>
          <w:rFonts w:ascii="David"/>
          <w:noProof w:val="0"/>
        </w:rPr>
        <w:t xml:space="preserve"> </w:t>
      </w:r>
      <w:r w:rsidRPr="00901746">
        <w:rPr>
          <w:rFonts w:ascii="David" w:hint="cs"/>
          <w:noProof w:val="0"/>
          <w:rtl/>
        </w:rPr>
        <w:t>בבית המשפט</w:t>
      </w:r>
      <w:r w:rsidRPr="00901746">
        <w:rPr>
          <w:rFonts w:ascii="David"/>
          <w:noProof w:val="0"/>
        </w:rPr>
        <w:t xml:space="preserve"> </w:t>
      </w:r>
      <w:r w:rsidRPr="00901746">
        <w:rPr>
          <w:rFonts w:ascii="David"/>
          <w:noProof w:val="0"/>
          <w:rtl/>
        </w:rPr>
        <w:t>העליון</w:t>
      </w:r>
      <w:r>
        <w:rPr>
          <w:rFonts w:ascii="David" w:hint="cs"/>
          <w:noProof w:val="0"/>
          <w:rtl/>
        </w:rPr>
        <w:t xml:space="preserve">, יש לקבוע </w:t>
      </w:r>
      <w:r w:rsidRPr="00901746">
        <w:rPr>
          <w:rFonts w:ascii="David"/>
          <w:noProof w:val="0"/>
          <w:rtl/>
        </w:rPr>
        <w:t>כי</w:t>
      </w:r>
      <w:r w:rsidRPr="00901746">
        <w:rPr>
          <w:rFonts w:ascii="David"/>
          <w:noProof w:val="0"/>
        </w:rPr>
        <w:t xml:space="preserve"> </w:t>
      </w:r>
      <w:r w:rsidRPr="00901746">
        <w:rPr>
          <w:rFonts w:ascii="David"/>
          <w:noProof w:val="0"/>
          <w:rtl/>
        </w:rPr>
        <w:t>אכן</w:t>
      </w:r>
      <w:r w:rsidRPr="00901746">
        <w:rPr>
          <w:rFonts w:ascii="David"/>
          <w:noProof w:val="0"/>
        </w:rPr>
        <w:t xml:space="preserve"> </w:t>
      </w:r>
      <w:r w:rsidRPr="00901746">
        <w:rPr>
          <w:rFonts w:ascii="David"/>
          <w:noProof w:val="0"/>
          <w:rtl/>
        </w:rPr>
        <w:t>בעסקות</w:t>
      </w:r>
      <w:r w:rsidRPr="00901746">
        <w:rPr>
          <w:rFonts w:ascii="David"/>
          <w:noProof w:val="0"/>
        </w:rPr>
        <w:t xml:space="preserve"> </w:t>
      </w:r>
      <w:r w:rsidRPr="00901746">
        <w:rPr>
          <w:rFonts w:ascii="David"/>
          <w:noProof w:val="0"/>
          <w:rtl/>
        </w:rPr>
        <w:t>מתנה</w:t>
      </w:r>
      <w:r w:rsidRPr="00901746">
        <w:rPr>
          <w:rFonts w:ascii="David"/>
          <w:noProof w:val="0"/>
        </w:rPr>
        <w:t xml:space="preserve"> </w:t>
      </w:r>
      <w:r w:rsidRPr="00901746">
        <w:rPr>
          <w:rFonts w:ascii="David"/>
          <w:noProof w:val="0"/>
          <w:rtl/>
        </w:rPr>
        <w:t>יש</w:t>
      </w:r>
      <w:r w:rsidRPr="00901746">
        <w:rPr>
          <w:rFonts w:ascii="David"/>
          <w:noProof w:val="0"/>
        </w:rPr>
        <w:t xml:space="preserve"> </w:t>
      </w:r>
      <w:r w:rsidRPr="00901746">
        <w:rPr>
          <w:rFonts w:ascii="David"/>
          <w:noProof w:val="0"/>
          <w:rtl/>
        </w:rPr>
        <w:t>להחיל</w:t>
      </w:r>
      <w:r w:rsidRPr="00901746">
        <w:rPr>
          <w:rFonts w:ascii="David"/>
          <w:noProof w:val="0"/>
        </w:rPr>
        <w:t xml:space="preserve"> </w:t>
      </w:r>
      <w:r w:rsidRPr="00901746">
        <w:rPr>
          <w:rFonts w:ascii="David"/>
          <w:noProof w:val="0"/>
          <w:rtl/>
        </w:rPr>
        <w:t>את</w:t>
      </w:r>
      <w:r w:rsidRPr="00901746">
        <w:rPr>
          <w:rFonts w:ascii="David"/>
          <w:noProof w:val="0"/>
        </w:rPr>
        <w:t xml:space="preserve"> </w:t>
      </w:r>
      <w:r w:rsidRPr="00901746">
        <w:rPr>
          <w:rFonts w:ascii="David"/>
          <w:noProof w:val="0"/>
          <w:rtl/>
        </w:rPr>
        <w:t>דיני</w:t>
      </w:r>
      <w:r w:rsidRPr="00901746">
        <w:rPr>
          <w:rFonts w:ascii="David"/>
          <w:noProof w:val="0"/>
        </w:rPr>
        <w:t xml:space="preserve"> </w:t>
      </w:r>
      <w:r w:rsidRPr="00901746">
        <w:rPr>
          <w:rFonts w:ascii="David"/>
          <w:noProof w:val="0"/>
          <w:rtl/>
        </w:rPr>
        <w:t>ההשפעה</w:t>
      </w:r>
      <w:r w:rsidRPr="00901746">
        <w:rPr>
          <w:rFonts w:ascii="David"/>
          <w:noProof w:val="0"/>
        </w:rPr>
        <w:t xml:space="preserve"> </w:t>
      </w:r>
      <w:r w:rsidRPr="00901746">
        <w:rPr>
          <w:rFonts w:ascii="David"/>
          <w:noProof w:val="0"/>
          <w:rtl/>
        </w:rPr>
        <w:t>הבלתי</w:t>
      </w:r>
      <w:r w:rsidRPr="00901746">
        <w:rPr>
          <w:rFonts w:ascii="David"/>
          <w:noProof w:val="0"/>
        </w:rPr>
        <w:t xml:space="preserve"> </w:t>
      </w:r>
      <w:r w:rsidRPr="00901746">
        <w:rPr>
          <w:rFonts w:ascii="David"/>
          <w:noProof w:val="0"/>
          <w:rtl/>
        </w:rPr>
        <w:t>הוגנת</w:t>
      </w:r>
      <w:r>
        <w:rPr>
          <w:rFonts w:ascii="Times-Roman" w:hAnsi="Times-Roman" w:hint="cs"/>
          <w:noProof w:val="0"/>
          <w:sz w:val="15"/>
          <w:szCs w:val="15"/>
          <w:rtl/>
        </w:rPr>
        <w:t>.</w:t>
      </w:r>
    </w:p>
    <w:p w:rsidR="00A57DDA" w:rsidRPr="00901746" w:rsidRDefault="00A57DDA" w:rsidP="00A57DDA">
      <w:pPr>
        <w:pStyle w:val="af1"/>
        <w:spacing w:line="360" w:lineRule="auto"/>
        <w:ind w:left="360"/>
        <w:jc w:val="both"/>
        <w:rPr>
          <w:rFonts w:ascii="Arial" w:hAnsi="Arial"/>
          <w:noProof w:val="0"/>
        </w:rPr>
      </w:pPr>
      <w:r>
        <w:rPr>
          <w:rFonts w:ascii="Arial" w:hAnsi="Arial" w:hint="cs"/>
          <w:noProof w:val="0"/>
          <w:rtl/>
        </w:rPr>
        <w:t xml:space="preserve">(ראה: ע"א 236/84 </w:t>
      </w:r>
      <w:r w:rsidRPr="00A20CE0">
        <w:rPr>
          <w:rFonts w:ascii="Arial" w:hAnsi="Arial" w:hint="cs"/>
          <w:b/>
          <w:bCs/>
          <w:noProof w:val="0"/>
          <w:rtl/>
        </w:rPr>
        <w:t>מנהל עיזבון המנוחה יפה נ' קליצ'קין</w:t>
      </w:r>
      <w:r>
        <w:rPr>
          <w:rFonts w:ascii="Arial" w:hAnsi="Arial" w:hint="cs"/>
          <w:noProof w:val="0"/>
          <w:rtl/>
        </w:rPr>
        <w:t xml:space="preserve">, מה(5) 013 {פמ"מ </w:t>
      </w:r>
      <w:r>
        <w:rPr>
          <w:rFonts w:ascii="Arial" w:hAnsi="Arial"/>
          <w:noProof w:val="0"/>
          <w:rtl/>
        </w:rPr>
        <w:t>–</w:t>
      </w:r>
      <w:r>
        <w:rPr>
          <w:rFonts w:ascii="Arial" w:hAnsi="Arial" w:hint="cs"/>
          <w:noProof w:val="0"/>
          <w:rtl/>
        </w:rPr>
        <w:t xml:space="preserve"> 01.09.1991}).</w:t>
      </w:r>
    </w:p>
    <w:p w:rsidR="00A57DDA" w:rsidRPr="00901746" w:rsidRDefault="00A57DDA" w:rsidP="00A57DDA">
      <w:pPr>
        <w:rPr>
          <w:rFonts w:ascii="Arial" w:hAnsi="Arial"/>
          <w:noProof w:val="0"/>
          <w:rtl/>
        </w:rPr>
      </w:pPr>
    </w:p>
    <w:p w:rsidR="00A57DDA" w:rsidRDefault="00A57DDA" w:rsidP="00A57DDA">
      <w:pPr>
        <w:rPr>
          <w:rFonts w:ascii="Arial" w:hAnsi="Arial"/>
          <w:noProof w:val="0"/>
          <w:rtl/>
        </w:rPr>
      </w:pPr>
    </w:p>
    <w:p w:rsidR="00A57DDA" w:rsidRDefault="00A57DDA" w:rsidP="00A57DDA">
      <w:pPr>
        <w:spacing w:line="360" w:lineRule="auto"/>
        <w:rPr>
          <w:rFonts w:ascii="Arial" w:hAnsi="Arial"/>
          <w:b/>
          <w:bCs/>
          <w:noProof w:val="0"/>
          <w:u w:val="single"/>
          <w:rtl/>
        </w:rPr>
      </w:pPr>
    </w:p>
    <w:p w:rsidR="00A57DDA" w:rsidRDefault="00A57DDA" w:rsidP="00A57DDA">
      <w:pPr>
        <w:spacing w:line="360" w:lineRule="auto"/>
        <w:rPr>
          <w:rFonts w:ascii="Arial" w:hAnsi="Arial"/>
          <w:b/>
          <w:bCs/>
          <w:noProof w:val="0"/>
          <w:u w:val="single"/>
          <w:rtl/>
        </w:rPr>
      </w:pPr>
    </w:p>
    <w:p w:rsidR="00A57DDA" w:rsidRDefault="00A57DDA" w:rsidP="00A57DDA">
      <w:pPr>
        <w:spacing w:line="360" w:lineRule="auto"/>
        <w:rPr>
          <w:rFonts w:ascii="Arial" w:hAnsi="Arial"/>
          <w:b/>
          <w:bCs/>
          <w:noProof w:val="0"/>
          <w:u w:val="single"/>
          <w:rtl/>
        </w:rPr>
      </w:pPr>
    </w:p>
    <w:p w:rsidR="00A57DDA" w:rsidRPr="00585EFC" w:rsidRDefault="00A57DDA" w:rsidP="00A57DDA">
      <w:pPr>
        <w:spacing w:line="360" w:lineRule="auto"/>
        <w:rPr>
          <w:rFonts w:ascii="Arial" w:hAnsi="Arial"/>
          <w:b/>
          <w:bCs/>
          <w:noProof w:val="0"/>
          <w:u w:val="single"/>
          <w:rtl/>
        </w:rPr>
      </w:pPr>
      <w:r w:rsidRPr="00585EFC">
        <w:rPr>
          <w:rFonts w:ascii="Arial" w:hAnsi="Arial" w:hint="cs"/>
          <w:b/>
          <w:bCs/>
          <w:noProof w:val="0"/>
          <w:u w:val="single"/>
          <w:rtl/>
        </w:rPr>
        <w:t xml:space="preserve">החלת דיני ההשפעה הבלתי הוגנת </w:t>
      </w:r>
      <w:r w:rsidRPr="00585EFC">
        <w:rPr>
          <w:rFonts w:ascii="Arial" w:hAnsi="Arial"/>
          <w:b/>
          <w:bCs/>
          <w:noProof w:val="0"/>
          <w:u w:val="single"/>
          <w:rtl/>
        </w:rPr>
        <w:t>–</w:t>
      </w:r>
      <w:r w:rsidRPr="00585EFC">
        <w:rPr>
          <w:rFonts w:ascii="Arial" w:hAnsi="Arial" w:hint="cs"/>
          <w:b/>
          <w:bCs/>
          <w:noProof w:val="0"/>
          <w:u w:val="single"/>
          <w:rtl/>
        </w:rPr>
        <w:t xml:space="preserve"> משמעות ראייתית</w:t>
      </w:r>
    </w:p>
    <w:p w:rsidR="00A57DDA" w:rsidRPr="00585EFC" w:rsidRDefault="00A57DDA" w:rsidP="00A57DDA">
      <w:pPr>
        <w:pStyle w:val="af1"/>
        <w:numPr>
          <w:ilvl w:val="0"/>
          <w:numId w:val="1"/>
        </w:numPr>
        <w:spacing w:line="360" w:lineRule="auto"/>
        <w:jc w:val="both"/>
        <w:rPr>
          <w:rFonts w:ascii="Arial" w:hAnsi="Arial"/>
          <w:noProof w:val="0"/>
          <w:rtl/>
        </w:rPr>
      </w:pPr>
      <w:r w:rsidRPr="00585EFC">
        <w:rPr>
          <w:rFonts w:ascii="David"/>
          <w:noProof w:val="0"/>
          <w:rtl/>
        </w:rPr>
        <w:t>להחלת</w:t>
      </w:r>
      <w:r w:rsidRPr="00585EFC">
        <w:rPr>
          <w:rFonts w:ascii="David"/>
          <w:noProof w:val="0"/>
        </w:rPr>
        <w:t xml:space="preserve"> </w:t>
      </w:r>
      <w:r w:rsidRPr="00585EFC">
        <w:rPr>
          <w:rFonts w:ascii="David"/>
          <w:noProof w:val="0"/>
          <w:rtl/>
        </w:rPr>
        <w:t>דיני</w:t>
      </w:r>
      <w:r w:rsidRPr="00585EFC">
        <w:rPr>
          <w:rFonts w:ascii="David"/>
          <w:noProof w:val="0"/>
        </w:rPr>
        <w:t xml:space="preserve"> </w:t>
      </w:r>
      <w:r w:rsidRPr="00585EFC">
        <w:rPr>
          <w:rFonts w:ascii="David"/>
          <w:noProof w:val="0"/>
          <w:rtl/>
        </w:rPr>
        <w:t>ההשפעה</w:t>
      </w:r>
      <w:r w:rsidRPr="00585EFC">
        <w:rPr>
          <w:rFonts w:ascii="David"/>
          <w:noProof w:val="0"/>
        </w:rPr>
        <w:t xml:space="preserve"> </w:t>
      </w:r>
      <w:r w:rsidRPr="00585EFC">
        <w:rPr>
          <w:rFonts w:ascii="David"/>
          <w:noProof w:val="0"/>
          <w:rtl/>
        </w:rPr>
        <w:t>הבלתי</w:t>
      </w:r>
      <w:r w:rsidRPr="00585EFC">
        <w:rPr>
          <w:rFonts w:ascii="David"/>
          <w:noProof w:val="0"/>
        </w:rPr>
        <w:t xml:space="preserve"> </w:t>
      </w:r>
      <w:r w:rsidRPr="00585EFC">
        <w:rPr>
          <w:rFonts w:ascii="David"/>
          <w:noProof w:val="0"/>
          <w:rtl/>
        </w:rPr>
        <w:t>הוגנת</w:t>
      </w:r>
      <w:r w:rsidRPr="00585EFC">
        <w:rPr>
          <w:rFonts w:ascii="David"/>
          <w:noProof w:val="0"/>
        </w:rPr>
        <w:t xml:space="preserve"> </w:t>
      </w:r>
      <w:r w:rsidRPr="00585EFC">
        <w:rPr>
          <w:rFonts w:ascii="David"/>
          <w:noProof w:val="0"/>
          <w:rtl/>
        </w:rPr>
        <w:t>על</w:t>
      </w:r>
      <w:r w:rsidRPr="00585EFC">
        <w:rPr>
          <w:rFonts w:ascii="David"/>
          <w:noProof w:val="0"/>
        </w:rPr>
        <w:t xml:space="preserve"> </w:t>
      </w:r>
      <w:r w:rsidRPr="00585EFC">
        <w:rPr>
          <w:rFonts w:ascii="David"/>
          <w:noProof w:val="0"/>
          <w:rtl/>
        </w:rPr>
        <w:t>דיני</w:t>
      </w:r>
      <w:r w:rsidRPr="00585EFC">
        <w:rPr>
          <w:rFonts w:ascii="David"/>
          <w:noProof w:val="0"/>
        </w:rPr>
        <w:t xml:space="preserve"> </w:t>
      </w:r>
      <w:r w:rsidRPr="00585EFC">
        <w:rPr>
          <w:rFonts w:ascii="David"/>
          <w:noProof w:val="0"/>
          <w:rtl/>
        </w:rPr>
        <w:t>המתנה</w:t>
      </w:r>
      <w:r w:rsidRPr="00585EFC">
        <w:rPr>
          <w:rFonts w:ascii="David"/>
          <w:noProof w:val="0"/>
        </w:rPr>
        <w:t xml:space="preserve"> </w:t>
      </w:r>
      <w:r w:rsidRPr="00585EFC">
        <w:rPr>
          <w:rFonts w:ascii="David"/>
          <w:noProof w:val="0"/>
          <w:rtl/>
        </w:rPr>
        <w:t>ישנה משמעות</w:t>
      </w:r>
      <w:r w:rsidRPr="00585EFC">
        <w:rPr>
          <w:rFonts w:ascii="David"/>
          <w:noProof w:val="0"/>
        </w:rPr>
        <w:t xml:space="preserve"> </w:t>
      </w:r>
      <w:r w:rsidRPr="00585EFC">
        <w:rPr>
          <w:rFonts w:ascii="David"/>
          <w:noProof w:val="0"/>
          <w:rtl/>
        </w:rPr>
        <w:t>ראייתית</w:t>
      </w:r>
      <w:r w:rsidRPr="00585EFC">
        <w:rPr>
          <w:rFonts w:ascii="David" w:hint="cs"/>
          <w:noProof w:val="0"/>
          <w:rtl/>
        </w:rPr>
        <w:t xml:space="preserve">, </w:t>
      </w:r>
      <w:r w:rsidRPr="00585EFC">
        <w:rPr>
          <w:rFonts w:ascii="David"/>
          <w:noProof w:val="0"/>
          <w:rtl/>
        </w:rPr>
        <w:t xml:space="preserve">בעוד, ברגיל 'המוציא </w:t>
      </w:r>
      <w:r>
        <w:rPr>
          <w:rFonts w:ascii="David" w:hint="cs"/>
          <w:noProof w:val="0"/>
          <w:rtl/>
        </w:rPr>
        <w:t>מ</w:t>
      </w:r>
      <w:r w:rsidRPr="00585EFC">
        <w:rPr>
          <w:rFonts w:ascii="David"/>
          <w:noProof w:val="0"/>
          <w:rtl/>
        </w:rPr>
        <w:t>חברו',</w:t>
      </w:r>
      <w:r w:rsidRPr="00585EFC">
        <w:rPr>
          <w:rFonts w:ascii="David"/>
          <w:noProof w:val="0"/>
        </w:rPr>
        <w:t xml:space="preserve"> </w:t>
      </w:r>
      <w:r w:rsidRPr="00585EFC">
        <w:rPr>
          <w:rFonts w:ascii="David"/>
          <w:noProof w:val="0"/>
          <w:rtl/>
        </w:rPr>
        <w:t>חייב בנטל</w:t>
      </w:r>
      <w:r w:rsidRPr="00585EFC">
        <w:rPr>
          <w:rFonts w:ascii="David"/>
          <w:noProof w:val="0"/>
        </w:rPr>
        <w:t xml:space="preserve"> </w:t>
      </w:r>
      <w:r w:rsidRPr="00585EFC">
        <w:rPr>
          <w:rFonts w:ascii="David"/>
          <w:noProof w:val="0"/>
          <w:rtl/>
        </w:rPr>
        <w:t>הראיה</w:t>
      </w:r>
      <w:r w:rsidRPr="00585EFC">
        <w:rPr>
          <w:rFonts w:ascii="David"/>
          <w:noProof w:val="0"/>
        </w:rPr>
        <w:t xml:space="preserve"> </w:t>
      </w:r>
      <w:r w:rsidRPr="00585EFC">
        <w:rPr>
          <w:rFonts w:ascii="David"/>
          <w:noProof w:val="0"/>
          <w:rtl/>
        </w:rPr>
        <w:t>והשכנוע,</w:t>
      </w:r>
      <w:r w:rsidRPr="00585EFC">
        <w:rPr>
          <w:rFonts w:ascii="David"/>
          <w:noProof w:val="0"/>
        </w:rPr>
        <w:t xml:space="preserve"> </w:t>
      </w:r>
      <w:r w:rsidRPr="00585EFC">
        <w:rPr>
          <w:rFonts w:ascii="David"/>
          <w:noProof w:val="0"/>
          <w:rtl/>
        </w:rPr>
        <w:t>הרי</w:t>
      </w:r>
      <w:r w:rsidRPr="00585EFC">
        <w:rPr>
          <w:rFonts w:ascii="David"/>
          <w:noProof w:val="0"/>
        </w:rPr>
        <w:t xml:space="preserve"> </w:t>
      </w:r>
      <w:r w:rsidRPr="00585EFC">
        <w:rPr>
          <w:rFonts w:ascii="David"/>
          <w:noProof w:val="0"/>
          <w:rtl/>
        </w:rPr>
        <w:t>לפי</w:t>
      </w:r>
      <w:r w:rsidRPr="00585EFC">
        <w:rPr>
          <w:rFonts w:ascii="David"/>
          <w:noProof w:val="0"/>
        </w:rPr>
        <w:t xml:space="preserve"> </w:t>
      </w:r>
      <w:r w:rsidRPr="00585EFC">
        <w:rPr>
          <w:rFonts w:ascii="David"/>
          <w:noProof w:val="0"/>
          <w:rtl/>
        </w:rPr>
        <w:t>דיני</w:t>
      </w:r>
      <w:r w:rsidRPr="00585EFC">
        <w:rPr>
          <w:rFonts w:ascii="David"/>
          <w:noProof w:val="0"/>
        </w:rPr>
        <w:t xml:space="preserve"> </w:t>
      </w:r>
      <w:r w:rsidRPr="00585EFC">
        <w:rPr>
          <w:rFonts w:ascii="David"/>
          <w:noProof w:val="0"/>
          <w:rtl/>
        </w:rPr>
        <w:t>ההשפעה</w:t>
      </w:r>
      <w:r w:rsidRPr="00585EFC">
        <w:rPr>
          <w:rFonts w:ascii="David"/>
          <w:noProof w:val="0"/>
        </w:rPr>
        <w:t xml:space="preserve"> </w:t>
      </w:r>
      <w:r w:rsidRPr="00585EFC">
        <w:rPr>
          <w:rFonts w:ascii="David"/>
          <w:noProof w:val="0"/>
          <w:rtl/>
        </w:rPr>
        <w:t>הבלתי הוגנת</w:t>
      </w:r>
      <w:r w:rsidRPr="00585EFC">
        <w:rPr>
          <w:rFonts w:ascii="David"/>
          <w:noProof w:val="0"/>
        </w:rPr>
        <w:t xml:space="preserve"> </w:t>
      </w:r>
      <w:r w:rsidRPr="00585EFC">
        <w:rPr>
          <w:rFonts w:ascii="David"/>
          <w:noProof w:val="0"/>
          <w:rtl/>
        </w:rPr>
        <w:t>במקרים</w:t>
      </w:r>
      <w:r w:rsidRPr="00585EFC">
        <w:rPr>
          <w:rFonts w:ascii="David"/>
          <w:noProof w:val="0"/>
        </w:rPr>
        <w:t xml:space="preserve"> </w:t>
      </w:r>
      <w:r w:rsidRPr="00585EFC">
        <w:rPr>
          <w:rFonts w:ascii="David"/>
          <w:noProof w:val="0"/>
          <w:rtl/>
        </w:rPr>
        <w:t>בהם</w:t>
      </w:r>
      <w:r w:rsidRPr="00585EFC">
        <w:rPr>
          <w:rFonts w:ascii="David"/>
          <w:noProof w:val="0"/>
        </w:rPr>
        <w:t xml:space="preserve"> </w:t>
      </w:r>
      <w:r w:rsidRPr="00585EFC">
        <w:rPr>
          <w:rFonts w:ascii="David"/>
          <w:noProof w:val="0"/>
          <w:rtl/>
        </w:rPr>
        <w:t>הוכחו 'יחסי</w:t>
      </w:r>
      <w:r w:rsidRPr="00585EFC">
        <w:rPr>
          <w:rFonts w:ascii="David"/>
          <w:noProof w:val="0"/>
        </w:rPr>
        <w:t xml:space="preserve"> </w:t>
      </w:r>
      <w:r w:rsidRPr="00585EFC">
        <w:rPr>
          <w:rFonts w:ascii="David"/>
          <w:noProof w:val="0"/>
          <w:rtl/>
        </w:rPr>
        <w:t>תלות</w:t>
      </w:r>
      <w:r w:rsidRPr="00585EFC">
        <w:rPr>
          <w:rFonts w:ascii="David"/>
          <w:noProof w:val="0"/>
        </w:rPr>
        <w:t xml:space="preserve"> </w:t>
      </w:r>
      <w:r w:rsidRPr="00585EFC">
        <w:rPr>
          <w:rFonts w:ascii="David"/>
          <w:noProof w:val="0"/>
          <w:rtl/>
        </w:rPr>
        <w:t>מקיפים', עובר נטל</w:t>
      </w:r>
      <w:r w:rsidRPr="00585EFC">
        <w:rPr>
          <w:rFonts w:ascii="David"/>
          <w:noProof w:val="0"/>
        </w:rPr>
        <w:t xml:space="preserve"> </w:t>
      </w:r>
      <w:r w:rsidRPr="00585EFC">
        <w:rPr>
          <w:rFonts w:ascii="David"/>
          <w:noProof w:val="0"/>
          <w:rtl/>
        </w:rPr>
        <w:t>ההוכחה</w:t>
      </w:r>
      <w:r w:rsidRPr="00585EFC">
        <w:rPr>
          <w:rFonts w:ascii="David"/>
          <w:noProof w:val="0"/>
        </w:rPr>
        <w:t xml:space="preserve"> </w:t>
      </w:r>
      <w:r w:rsidRPr="00585EFC">
        <w:rPr>
          <w:rFonts w:ascii="David"/>
          <w:noProof w:val="0"/>
          <w:rtl/>
        </w:rPr>
        <w:t>להוכיח</w:t>
      </w:r>
      <w:r w:rsidRPr="00585EFC">
        <w:rPr>
          <w:rFonts w:ascii="David"/>
          <w:noProof w:val="0"/>
        </w:rPr>
        <w:t xml:space="preserve"> </w:t>
      </w:r>
      <w:r w:rsidRPr="00585EFC">
        <w:rPr>
          <w:rFonts w:ascii="David"/>
          <w:noProof w:val="0"/>
          <w:rtl/>
        </w:rPr>
        <w:t>את</w:t>
      </w:r>
      <w:r w:rsidRPr="00585EFC">
        <w:rPr>
          <w:rFonts w:ascii="David"/>
          <w:noProof w:val="0"/>
        </w:rPr>
        <w:t xml:space="preserve"> </w:t>
      </w:r>
      <w:r w:rsidRPr="00585EFC">
        <w:rPr>
          <w:rFonts w:ascii="David"/>
          <w:noProof w:val="0"/>
          <w:rtl/>
        </w:rPr>
        <w:t>העדרה</w:t>
      </w:r>
      <w:r w:rsidRPr="00585EFC">
        <w:rPr>
          <w:rFonts w:ascii="David"/>
          <w:noProof w:val="0"/>
        </w:rPr>
        <w:t xml:space="preserve"> </w:t>
      </w:r>
      <w:r w:rsidRPr="00585EFC">
        <w:rPr>
          <w:rFonts w:ascii="David"/>
          <w:noProof w:val="0"/>
          <w:rtl/>
        </w:rPr>
        <w:t>של</w:t>
      </w:r>
      <w:r w:rsidRPr="00585EFC">
        <w:rPr>
          <w:rFonts w:ascii="David"/>
          <w:noProof w:val="0"/>
        </w:rPr>
        <w:t xml:space="preserve"> </w:t>
      </w:r>
      <w:r w:rsidRPr="00585EFC">
        <w:rPr>
          <w:rFonts w:ascii="David"/>
          <w:noProof w:val="0"/>
          <w:rtl/>
        </w:rPr>
        <w:t>השפעה בלתי</w:t>
      </w:r>
      <w:r w:rsidRPr="00585EFC">
        <w:rPr>
          <w:rFonts w:ascii="David"/>
          <w:noProof w:val="0"/>
        </w:rPr>
        <w:t xml:space="preserve"> </w:t>
      </w:r>
      <w:r w:rsidRPr="00585EFC">
        <w:rPr>
          <w:rFonts w:ascii="David"/>
          <w:noProof w:val="0"/>
          <w:rtl/>
        </w:rPr>
        <w:t>הוגנת. אומר</w:t>
      </w:r>
      <w:r w:rsidRPr="00585EFC">
        <w:rPr>
          <w:rFonts w:ascii="David"/>
          <w:noProof w:val="0"/>
        </w:rPr>
        <w:t xml:space="preserve"> </w:t>
      </w:r>
      <w:r w:rsidRPr="00585EFC">
        <w:rPr>
          <w:rFonts w:ascii="David"/>
          <w:noProof w:val="0"/>
          <w:rtl/>
        </w:rPr>
        <w:t>על</w:t>
      </w:r>
      <w:r w:rsidRPr="00585EFC">
        <w:rPr>
          <w:rFonts w:ascii="David"/>
          <w:noProof w:val="0"/>
        </w:rPr>
        <w:t xml:space="preserve"> </w:t>
      </w:r>
      <w:r w:rsidRPr="00585EFC">
        <w:rPr>
          <w:rFonts w:ascii="David"/>
          <w:noProof w:val="0"/>
          <w:rtl/>
        </w:rPr>
        <w:t>כך</w:t>
      </w:r>
      <w:r w:rsidRPr="00585EFC">
        <w:rPr>
          <w:rFonts w:ascii="David"/>
          <w:noProof w:val="0"/>
        </w:rPr>
        <w:t xml:space="preserve"> </w:t>
      </w:r>
      <w:r w:rsidRPr="00585EFC">
        <w:rPr>
          <w:rFonts w:ascii="David" w:hint="cs"/>
          <w:noProof w:val="0"/>
          <w:rtl/>
        </w:rPr>
        <w:t>בית המשפט</w:t>
      </w:r>
      <w:r w:rsidRPr="00585EFC">
        <w:rPr>
          <w:rFonts w:ascii="David"/>
          <w:noProof w:val="0"/>
        </w:rPr>
        <w:t xml:space="preserve"> </w:t>
      </w:r>
      <w:r w:rsidRPr="00585EFC">
        <w:rPr>
          <w:rFonts w:ascii="David"/>
          <w:noProof w:val="0"/>
          <w:rtl/>
        </w:rPr>
        <w:t>העליון</w:t>
      </w:r>
      <w:r w:rsidRPr="00585EFC">
        <w:rPr>
          <w:rFonts w:ascii="David"/>
          <w:noProof w:val="0"/>
        </w:rPr>
        <w:t xml:space="preserve"> </w:t>
      </w:r>
      <w:r w:rsidRPr="00585EFC">
        <w:rPr>
          <w:rFonts w:ascii="David"/>
          <w:noProof w:val="0"/>
          <w:rtl/>
        </w:rPr>
        <w:t xml:space="preserve">באחת הפרשות: </w:t>
      </w:r>
    </w:p>
    <w:p w:rsidR="00A57DDA" w:rsidRDefault="00A57DDA" w:rsidP="00A57DDA">
      <w:pPr>
        <w:autoSpaceDE w:val="0"/>
        <w:autoSpaceDN w:val="0"/>
        <w:adjustRightInd w:val="0"/>
        <w:spacing w:line="360" w:lineRule="auto"/>
        <w:ind w:right="1701"/>
        <w:jc w:val="both"/>
        <w:rPr>
          <w:rFonts w:ascii="FrankRuehl"/>
          <w:b/>
          <w:bCs/>
          <w:noProof w:val="0"/>
          <w:rtl/>
        </w:rPr>
      </w:pPr>
    </w:p>
    <w:p w:rsidR="00A57DDA" w:rsidRPr="00585EFC" w:rsidRDefault="00A57DDA" w:rsidP="00A57DDA">
      <w:pPr>
        <w:autoSpaceDE w:val="0"/>
        <w:autoSpaceDN w:val="0"/>
        <w:adjustRightInd w:val="0"/>
        <w:spacing w:line="360" w:lineRule="auto"/>
        <w:ind w:left="1080"/>
        <w:jc w:val="both"/>
        <w:rPr>
          <w:rFonts w:ascii="FrankRuehl"/>
          <w:b/>
          <w:bCs/>
          <w:i/>
          <w:iCs/>
          <w:noProof w:val="0"/>
          <w:rtl/>
        </w:rPr>
      </w:pPr>
      <w:r w:rsidRPr="00585EFC">
        <w:rPr>
          <w:rFonts w:ascii="FrankRuehl"/>
          <w:b/>
          <w:bCs/>
          <w:i/>
          <w:iCs/>
          <w:noProof w:val="0"/>
          <w:rtl/>
        </w:rPr>
        <w:t>"הלכה</w:t>
      </w:r>
      <w:r w:rsidRPr="00585EFC">
        <w:rPr>
          <w:rFonts w:ascii="FrankRuehl"/>
          <w:b/>
          <w:bCs/>
          <w:i/>
          <w:iCs/>
          <w:noProof w:val="0"/>
        </w:rPr>
        <w:t xml:space="preserve"> </w:t>
      </w:r>
      <w:r w:rsidRPr="00585EFC">
        <w:rPr>
          <w:rFonts w:ascii="FrankRuehl"/>
          <w:b/>
          <w:bCs/>
          <w:i/>
          <w:iCs/>
          <w:noProof w:val="0"/>
          <w:rtl/>
        </w:rPr>
        <w:t>היא</w:t>
      </w:r>
      <w:r w:rsidRPr="00585EFC">
        <w:rPr>
          <w:rFonts w:ascii="FrankRuehl"/>
          <w:b/>
          <w:bCs/>
          <w:i/>
          <w:iCs/>
          <w:noProof w:val="0"/>
        </w:rPr>
        <w:t xml:space="preserve"> </w:t>
      </w:r>
      <w:r w:rsidRPr="00585EFC">
        <w:rPr>
          <w:rFonts w:ascii="FrankRuehl"/>
          <w:b/>
          <w:bCs/>
          <w:i/>
          <w:iCs/>
          <w:noProof w:val="0"/>
          <w:rtl/>
        </w:rPr>
        <w:t>כאשר</w:t>
      </w:r>
      <w:r w:rsidRPr="00585EFC">
        <w:rPr>
          <w:rFonts w:ascii="FrankRuehl"/>
          <w:b/>
          <w:bCs/>
          <w:i/>
          <w:iCs/>
          <w:noProof w:val="0"/>
        </w:rPr>
        <w:t xml:space="preserve"> </w:t>
      </w:r>
      <w:r w:rsidRPr="00585EFC">
        <w:rPr>
          <w:rFonts w:ascii="FrankRuehl"/>
          <w:b/>
          <w:bCs/>
          <w:i/>
          <w:iCs/>
          <w:noProof w:val="0"/>
          <w:rtl/>
        </w:rPr>
        <w:t>הנסיבות</w:t>
      </w:r>
      <w:r w:rsidRPr="00585EFC">
        <w:rPr>
          <w:rFonts w:ascii="FrankRuehl"/>
          <w:b/>
          <w:bCs/>
          <w:i/>
          <w:iCs/>
          <w:noProof w:val="0"/>
        </w:rPr>
        <w:t xml:space="preserve"> </w:t>
      </w:r>
      <w:r w:rsidRPr="00585EFC">
        <w:rPr>
          <w:rFonts w:ascii="FrankRuehl"/>
          <w:b/>
          <w:bCs/>
          <w:i/>
          <w:iCs/>
          <w:noProof w:val="0"/>
          <w:rtl/>
        </w:rPr>
        <w:t>האופפות</w:t>
      </w:r>
      <w:r w:rsidRPr="00585EFC">
        <w:rPr>
          <w:rFonts w:ascii="FrankRuehl"/>
          <w:b/>
          <w:bCs/>
          <w:i/>
          <w:iCs/>
          <w:noProof w:val="0"/>
        </w:rPr>
        <w:t xml:space="preserve"> </w:t>
      </w:r>
      <w:r w:rsidRPr="00585EFC">
        <w:rPr>
          <w:rFonts w:ascii="FrankRuehl"/>
          <w:b/>
          <w:bCs/>
          <w:i/>
          <w:iCs/>
          <w:noProof w:val="0"/>
          <w:rtl/>
        </w:rPr>
        <w:t>את</w:t>
      </w:r>
      <w:r w:rsidRPr="00585EFC">
        <w:rPr>
          <w:rFonts w:ascii="FrankRuehl"/>
          <w:b/>
          <w:bCs/>
          <w:i/>
          <w:iCs/>
          <w:noProof w:val="0"/>
        </w:rPr>
        <w:t xml:space="preserve"> </w:t>
      </w:r>
      <w:r w:rsidRPr="00585EFC">
        <w:rPr>
          <w:rFonts w:ascii="FrankRuehl"/>
          <w:b/>
          <w:bCs/>
          <w:i/>
          <w:iCs/>
          <w:noProof w:val="0"/>
          <w:rtl/>
        </w:rPr>
        <w:t>המקרה</w:t>
      </w:r>
      <w:r w:rsidRPr="00585EFC">
        <w:rPr>
          <w:rFonts w:ascii="FrankRuehl"/>
          <w:b/>
          <w:bCs/>
          <w:i/>
          <w:iCs/>
          <w:noProof w:val="0"/>
        </w:rPr>
        <w:t xml:space="preserve"> </w:t>
      </w:r>
      <w:r w:rsidRPr="00585EFC">
        <w:rPr>
          <w:rFonts w:ascii="FrankRuehl"/>
          <w:b/>
          <w:bCs/>
          <w:i/>
          <w:iCs/>
          <w:noProof w:val="0"/>
          <w:rtl/>
        </w:rPr>
        <w:t>מצביעות</w:t>
      </w:r>
      <w:r w:rsidRPr="00585EFC">
        <w:rPr>
          <w:rFonts w:ascii="FrankRuehl"/>
          <w:b/>
          <w:bCs/>
          <w:i/>
          <w:iCs/>
          <w:noProof w:val="0"/>
        </w:rPr>
        <w:t xml:space="preserve"> </w:t>
      </w:r>
      <w:r w:rsidRPr="00585EFC">
        <w:rPr>
          <w:rFonts w:ascii="FrankRuehl"/>
          <w:b/>
          <w:bCs/>
          <w:i/>
          <w:iCs/>
          <w:noProof w:val="0"/>
          <w:rtl/>
        </w:rPr>
        <w:t>על</w:t>
      </w:r>
      <w:r w:rsidRPr="00585EFC">
        <w:rPr>
          <w:rFonts w:ascii="FrankRuehl"/>
          <w:b/>
          <w:bCs/>
          <w:i/>
          <w:iCs/>
          <w:noProof w:val="0"/>
        </w:rPr>
        <w:t xml:space="preserve"> </w:t>
      </w:r>
      <w:r w:rsidRPr="00585EFC">
        <w:rPr>
          <w:rFonts w:ascii="FrankRuehl"/>
          <w:b/>
          <w:bCs/>
          <w:i/>
          <w:iCs/>
          <w:noProof w:val="0"/>
          <w:rtl/>
        </w:rPr>
        <w:t>קיומה</w:t>
      </w:r>
      <w:r w:rsidRPr="00585EFC">
        <w:rPr>
          <w:rFonts w:ascii="FrankRuehl"/>
          <w:b/>
          <w:bCs/>
          <w:i/>
          <w:iCs/>
          <w:noProof w:val="0"/>
        </w:rPr>
        <w:t xml:space="preserve"> </w:t>
      </w:r>
      <w:r w:rsidRPr="00585EFC">
        <w:rPr>
          <w:rFonts w:ascii="FrankRuehl"/>
          <w:b/>
          <w:bCs/>
          <w:i/>
          <w:iCs/>
          <w:noProof w:val="0"/>
          <w:rtl/>
        </w:rPr>
        <w:t>של תלות</w:t>
      </w:r>
      <w:r w:rsidRPr="00585EFC">
        <w:rPr>
          <w:rFonts w:ascii="FrankRuehl"/>
          <w:b/>
          <w:bCs/>
          <w:i/>
          <w:iCs/>
          <w:noProof w:val="0"/>
        </w:rPr>
        <w:t xml:space="preserve"> </w:t>
      </w:r>
      <w:r w:rsidRPr="00585EFC">
        <w:rPr>
          <w:rFonts w:ascii="FrankRuehl"/>
          <w:b/>
          <w:bCs/>
          <w:i/>
          <w:iCs/>
          <w:noProof w:val="0"/>
          <w:rtl/>
        </w:rPr>
        <w:t>אדם</w:t>
      </w:r>
      <w:r w:rsidRPr="00585EFC">
        <w:rPr>
          <w:rFonts w:ascii="FrankRuehl"/>
          <w:b/>
          <w:bCs/>
          <w:i/>
          <w:iCs/>
          <w:noProof w:val="0"/>
        </w:rPr>
        <w:t xml:space="preserve"> </w:t>
      </w:r>
      <w:r w:rsidRPr="00585EFC">
        <w:rPr>
          <w:rFonts w:ascii="FrankRuehl"/>
          <w:b/>
          <w:bCs/>
          <w:i/>
          <w:iCs/>
          <w:noProof w:val="0"/>
          <w:rtl/>
        </w:rPr>
        <w:t>אחד</w:t>
      </w:r>
      <w:r w:rsidRPr="00585EFC">
        <w:rPr>
          <w:rFonts w:ascii="FrankRuehl"/>
          <w:b/>
          <w:bCs/>
          <w:i/>
          <w:iCs/>
          <w:noProof w:val="0"/>
        </w:rPr>
        <w:t xml:space="preserve"> </w:t>
      </w:r>
      <w:r w:rsidRPr="00585EFC">
        <w:rPr>
          <w:rFonts w:ascii="FrankRuehl"/>
          <w:b/>
          <w:bCs/>
          <w:i/>
          <w:iCs/>
          <w:noProof w:val="0"/>
          <w:rtl/>
        </w:rPr>
        <w:t>בזולת</w:t>
      </w:r>
      <w:r>
        <w:rPr>
          <w:rFonts w:ascii="FrankRuehl" w:hint="cs"/>
          <w:b/>
          <w:bCs/>
          <w:i/>
          <w:iCs/>
          <w:noProof w:val="0"/>
          <w:rtl/>
        </w:rPr>
        <w:t xml:space="preserve">ו, </w:t>
      </w:r>
      <w:r w:rsidRPr="00585EFC">
        <w:rPr>
          <w:rFonts w:ascii="FrankRuehl"/>
          <w:b/>
          <w:bCs/>
          <w:i/>
          <w:iCs/>
          <w:noProof w:val="0"/>
          <w:rtl/>
        </w:rPr>
        <w:t>שהיא</w:t>
      </w:r>
      <w:r w:rsidRPr="00585EFC">
        <w:rPr>
          <w:rFonts w:ascii="FrankRuehl"/>
          <w:b/>
          <w:bCs/>
          <w:i/>
          <w:iCs/>
          <w:noProof w:val="0"/>
        </w:rPr>
        <w:t xml:space="preserve"> </w:t>
      </w:r>
      <w:r w:rsidRPr="00585EFC">
        <w:rPr>
          <w:rFonts w:ascii="FrankRuehl"/>
          <w:b/>
          <w:bCs/>
          <w:i/>
          <w:iCs/>
          <w:noProof w:val="0"/>
          <w:rtl/>
        </w:rPr>
        <w:t>כה</w:t>
      </w:r>
      <w:r w:rsidRPr="00585EFC">
        <w:rPr>
          <w:rFonts w:ascii="FrankRuehl"/>
          <w:b/>
          <w:bCs/>
          <w:i/>
          <w:iCs/>
          <w:noProof w:val="0"/>
        </w:rPr>
        <w:t xml:space="preserve"> </w:t>
      </w:r>
      <w:r w:rsidRPr="00585EFC">
        <w:rPr>
          <w:rFonts w:ascii="FrankRuehl"/>
          <w:b/>
          <w:bCs/>
          <w:i/>
          <w:iCs/>
          <w:noProof w:val="0"/>
          <w:rtl/>
        </w:rPr>
        <w:t>מקיפה</w:t>
      </w:r>
      <w:r w:rsidRPr="00585EFC">
        <w:rPr>
          <w:rFonts w:ascii="FrankRuehl"/>
          <w:b/>
          <w:bCs/>
          <w:i/>
          <w:iCs/>
          <w:noProof w:val="0"/>
        </w:rPr>
        <w:t xml:space="preserve"> </w:t>
      </w:r>
      <w:r w:rsidRPr="00585EFC">
        <w:rPr>
          <w:rFonts w:ascii="FrankRuehl"/>
          <w:b/>
          <w:bCs/>
          <w:i/>
          <w:iCs/>
          <w:noProof w:val="0"/>
          <w:rtl/>
        </w:rPr>
        <w:t>ויסודית</w:t>
      </w:r>
      <w:r w:rsidRPr="00585EFC">
        <w:rPr>
          <w:rFonts w:ascii="FrankRuehl"/>
          <w:b/>
          <w:bCs/>
          <w:i/>
          <w:iCs/>
          <w:noProof w:val="0"/>
        </w:rPr>
        <w:t xml:space="preserve"> </w:t>
      </w:r>
      <w:r w:rsidRPr="00585EFC">
        <w:rPr>
          <w:rFonts w:ascii="FrankRuehl"/>
          <w:b/>
          <w:bCs/>
          <w:i/>
          <w:iCs/>
          <w:noProof w:val="0"/>
          <w:rtl/>
        </w:rPr>
        <w:t>שניתן</w:t>
      </w:r>
      <w:r w:rsidRPr="00585EFC">
        <w:rPr>
          <w:rFonts w:ascii="FrankRuehl"/>
          <w:b/>
          <w:bCs/>
          <w:i/>
          <w:iCs/>
          <w:noProof w:val="0"/>
        </w:rPr>
        <w:t xml:space="preserve"> </w:t>
      </w:r>
      <w:r w:rsidRPr="00585EFC">
        <w:rPr>
          <w:rFonts w:ascii="FrankRuehl"/>
          <w:b/>
          <w:bCs/>
          <w:i/>
          <w:iCs/>
          <w:noProof w:val="0"/>
          <w:rtl/>
        </w:rPr>
        <w:t>להניח</w:t>
      </w:r>
      <w:r w:rsidRPr="00585EFC">
        <w:rPr>
          <w:rFonts w:ascii="FrankRuehl"/>
          <w:b/>
          <w:bCs/>
          <w:i/>
          <w:iCs/>
          <w:noProof w:val="0"/>
        </w:rPr>
        <w:t xml:space="preserve"> </w:t>
      </w:r>
      <w:r w:rsidRPr="00585EFC">
        <w:rPr>
          <w:rFonts w:ascii="FrankRuehl"/>
          <w:b/>
          <w:bCs/>
          <w:i/>
          <w:iCs/>
          <w:noProof w:val="0"/>
          <w:rtl/>
        </w:rPr>
        <w:t>כי</w:t>
      </w:r>
      <w:r w:rsidRPr="00585EFC">
        <w:rPr>
          <w:rFonts w:ascii="FrankRuehl"/>
          <w:b/>
          <w:bCs/>
          <w:i/>
          <w:iCs/>
          <w:noProof w:val="0"/>
        </w:rPr>
        <w:t xml:space="preserve"> </w:t>
      </w:r>
      <w:r w:rsidRPr="00585EFC">
        <w:rPr>
          <w:rFonts w:ascii="FrankRuehl"/>
          <w:b/>
          <w:bCs/>
          <w:i/>
          <w:iCs/>
          <w:noProof w:val="0"/>
          <w:rtl/>
        </w:rPr>
        <w:t>נשלל רצונו</w:t>
      </w:r>
      <w:r w:rsidRPr="00585EFC">
        <w:rPr>
          <w:rFonts w:ascii="FrankRuehl"/>
          <w:b/>
          <w:bCs/>
          <w:i/>
          <w:iCs/>
          <w:noProof w:val="0"/>
        </w:rPr>
        <w:t xml:space="preserve"> </w:t>
      </w:r>
      <w:r w:rsidRPr="00585EFC">
        <w:rPr>
          <w:rFonts w:ascii="FrankRuehl"/>
          <w:b/>
          <w:bCs/>
          <w:i/>
          <w:iCs/>
          <w:noProof w:val="0"/>
          <w:rtl/>
        </w:rPr>
        <w:t>החופשי</w:t>
      </w:r>
      <w:r w:rsidRPr="00585EFC">
        <w:rPr>
          <w:rFonts w:ascii="FrankRuehl"/>
          <w:b/>
          <w:bCs/>
          <w:i/>
          <w:iCs/>
          <w:noProof w:val="0"/>
        </w:rPr>
        <w:t xml:space="preserve"> </w:t>
      </w:r>
      <w:r w:rsidRPr="00585EFC">
        <w:rPr>
          <w:rFonts w:ascii="FrankRuehl"/>
          <w:b/>
          <w:bCs/>
          <w:i/>
          <w:iCs/>
          <w:noProof w:val="0"/>
          <w:rtl/>
        </w:rPr>
        <w:t>והבלתי</w:t>
      </w:r>
      <w:r w:rsidRPr="00585EFC">
        <w:rPr>
          <w:rFonts w:ascii="FrankRuehl"/>
          <w:b/>
          <w:bCs/>
          <w:i/>
          <w:iCs/>
          <w:noProof w:val="0"/>
        </w:rPr>
        <w:t xml:space="preserve"> </w:t>
      </w:r>
      <w:r w:rsidRPr="00585EFC">
        <w:rPr>
          <w:rFonts w:ascii="FrankRuehl"/>
          <w:b/>
          <w:bCs/>
          <w:i/>
          <w:iCs/>
          <w:noProof w:val="0"/>
          <w:rtl/>
        </w:rPr>
        <w:t>תלוי</w:t>
      </w:r>
      <w:r w:rsidRPr="00585EFC">
        <w:rPr>
          <w:rFonts w:ascii="FrankRuehl"/>
          <w:b/>
          <w:bCs/>
          <w:i/>
          <w:iCs/>
          <w:noProof w:val="0"/>
        </w:rPr>
        <w:t xml:space="preserve"> </w:t>
      </w:r>
      <w:r w:rsidRPr="00585EFC">
        <w:rPr>
          <w:rFonts w:ascii="FrankRuehl"/>
          <w:b/>
          <w:bCs/>
          <w:i/>
          <w:iCs/>
          <w:noProof w:val="0"/>
          <w:rtl/>
        </w:rPr>
        <w:t>של</w:t>
      </w:r>
      <w:r w:rsidRPr="00585EFC">
        <w:rPr>
          <w:rFonts w:ascii="FrankRuehl"/>
          <w:b/>
          <w:bCs/>
          <w:i/>
          <w:iCs/>
          <w:noProof w:val="0"/>
        </w:rPr>
        <w:t xml:space="preserve"> </w:t>
      </w:r>
      <w:r w:rsidRPr="00585EFC">
        <w:rPr>
          <w:rFonts w:ascii="FrankRuehl"/>
          <w:b/>
          <w:bCs/>
          <w:i/>
          <w:iCs/>
          <w:noProof w:val="0"/>
          <w:rtl/>
        </w:rPr>
        <w:t>אותו</w:t>
      </w:r>
      <w:r w:rsidRPr="00585EFC">
        <w:rPr>
          <w:rFonts w:ascii="FrankRuehl"/>
          <w:b/>
          <w:bCs/>
          <w:i/>
          <w:iCs/>
          <w:noProof w:val="0"/>
        </w:rPr>
        <w:t xml:space="preserve"> </w:t>
      </w:r>
      <w:r w:rsidRPr="00585EFC">
        <w:rPr>
          <w:rFonts w:ascii="FrankRuehl"/>
          <w:b/>
          <w:bCs/>
          <w:i/>
          <w:iCs/>
          <w:noProof w:val="0"/>
          <w:rtl/>
        </w:rPr>
        <w:t>אדם</w:t>
      </w:r>
      <w:r w:rsidRPr="00585EFC">
        <w:rPr>
          <w:rFonts w:ascii="FrankRuehl"/>
          <w:b/>
          <w:bCs/>
          <w:i/>
          <w:iCs/>
          <w:noProof w:val="0"/>
        </w:rPr>
        <w:t xml:space="preserve"> </w:t>
      </w:r>
      <w:r w:rsidRPr="00585EFC">
        <w:rPr>
          <w:rFonts w:ascii="FrankRuehl"/>
          <w:b/>
          <w:bCs/>
          <w:i/>
          <w:iCs/>
          <w:noProof w:val="0"/>
          <w:rtl/>
        </w:rPr>
        <w:t>במה</w:t>
      </w:r>
      <w:r w:rsidRPr="00585EFC">
        <w:rPr>
          <w:rFonts w:ascii="FrankRuehl"/>
          <w:b/>
          <w:bCs/>
          <w:i/>
          <w:iCs/>
          <w:noProof w:val="0"/>
        </w:rPr>
        <w:t xml:space="preserve"> </w:t>
      </w:r>
      <w:r w:rsidRPr="00585EFC">
        <w:rPr>
          <w:rFonts w:ascii="FrankRuehl"/>
          <w:b/>
          <w:bCs/>
          <w:i/>
          <w:iCs/>
          <w:noProof w:val="0"/>
          <w:rtl/>
        </w:rPr>
        <w:t>שנוגע</w:t>
      </w:r>
      <w:r w:rsidRPr="00585EFC">
        <w:rPr>
          <w:rFonts w:ascii="FrankRuehl"/>
          <w:b/>
          <w:bCs/>
          <w:i/>
          <w:iCs/>
          <w:noProof w:val="0"/>
        </w:rPr>
        <w:t xml:space="preserve"> </w:t>
      </w:r>
      <w:r w:rsidRPr="00585EFC">
        <w:rPr>
          <w:rFonts w:ascii="FrankRuehl"/>
          <w:b/>
          <w:bCs/>
          <w:i/>
          <w:iCs/>
          <w:noProof w:val="0"/>
          <w:rtl/>
        </w:rPr>
        <w:t>ליחסים</w:t>
      </w:r>
      <w:r w:rsidRPr="00585EFC">
        <w:rPr>
          <w:rFonts w:ascii="FrankRuehl"/>
          <w:b/>
          <w:bCs/>
          <w:i/>
          <w:iCs/>
          <w:noProof w:val="0"/>
        </w:rPr>
        <w:t xml:space="preserve"> </w:t>
      </w:r>
      <w:r w:rsidRPr="00585EFC">
        <w:rPr>
          <w:rFonts w:ascii="FrankRuehl"/>
          <w:b/>
          <w:bCs/>
          <w:i/>
          <w:iCs/>
          <w:noProof w:val="0"/>
          <w:rtl/>
        </w:rPr>
        <w:t>שבינו</w:t>
      </w:r>
      <w:r w:rsidRPr="00585EFC">
        <w:rPr>
          <w:rFonts w:ascii="FrankRuehl"/>
          <w:b/>
          <w:bCs/>
          <w:i/>
          <w:iCs/>
          <w:noProof w:val="0"/>
        </w:rPr>
        <w:t xml:space="preserve"> </w:t>
      </w:r>
      <w:r w:rsidRPr="00585EFC">
        <w:rPr>
          <w:rFonts w:ascii="FrankRuehl"/>
          <w:b/>
          <w:bCs/>
          <w:i/>
          <w:iCs/>
          <w:noProof w:val="0"/>
          <w:rtl/>
        </w:rPr>
        <w:t>לבין הזו</w:t>
      </w:r>
      <w:r>
        <w:rPr>
          <w:rFonts w:ascii="FrankRuehl" w:hint="cs"/>
          <w:b/>
          <w:bCs/>
          <w:i/>
          <w:iCs/>
          <w:noProof w:val="0"/>
          <w:rtl/>
        </w:rPr>
        <w:t xml:space="preserve">לת, </w:t>
      </w:r>
      <w:r w:rsidRPr="00585EFC">
        <w:rPr>
          <w:rFonts w:ascii="FrankRuehl"/>
          <w:b/>
          <w:bCs/>
          <w:i/>
          <w:iCs/>
          <w:noProof w:val="0"/>
          <w:rtl/>
        </w:rPr>
        <w:t>כי</w:t>
      </w:r>
      <w:r w:rsidRPr="00585EFC">
        <w:rPr>
          <w:rFonts w:ascii="FrankRuehl"/>
          <w:b/>
          <w:bCs/>
          <w:i/>
          <w:iCs/>
          <w:noProof w:val="0"/>
        </w:rPr>
        <w:t xml:space="preserve"> </w:t>
      </w:r>
      <w:r w:rsidRPr="00585EFC">
        <w:rPr>
          <w:rFonts w:ascii="FrankRuehl"/>
          <w:b/>
          <w:bCs/>
          <w:i/>
          <w:iCs/>
          <w:noProof w:val="0"/>
          <w:rtl/>
        </w:rPr>
        <w:t>אז</w:t>
      </w:r>
      <w:r w:rsidRPr="00585EFC">
        <w:rPr>
          <w:rFonts w:ascii="FrankRuehl"/>
          <w:b/>
          <w:bCs/>
          <w:i/>
          <w:iCs/>
          <w:noProof w:val="0"/>
        </w:rPr>
        <w:t xml:space="preserve"> </w:t>
      </w:r>
      <w:r w:rsidRPr="00585EFC">
        <w:rPr>
          <w:rFonts w:ascii="FrankRuehl"/>
          <w:b/>
          <w:bCs/>
          <w:i/>
          <w:iCs/>
          <w:noProof w:val="0"/>
          <w:rtl/>
        </w:rPr>
        <w:t>אפשר</w:t>
      </w:r>
      <w:r w:rsidRPr="00585EFC">
        <w:rPr>
          <w:rFonts w:ascii="FrankRuehl"/>
          <w:b/>
          <w:bCs/>
          <w:i/>
          <w:iCs/>
          <w:noProof w:val="0"/>
        </w:rPr>
        <w:t xml:space="preserve"> </w:t>
      </w:r>
      <w:r w:rsidRPr="00585EFC">
        <w:rPr>
          <w:rFonts w:ascii="FrankRuehl"/>
          <w:b/>
          <w:bCs/>
          <w:i/>
          <w:iCs/>
          <w:noProof w:val="0"/>
          <w:rtl/>
        </w:rPr>
        <w:t>לומר</w:t>
      </w:r>
      <w:r w:rsidRPr="00585EFC">
        <w:rPr>
          <w:rFonts w:ascii="FrankRuehl"/>
          <w:b/>
          <w:bCs/>
          <w:i/>
          <w:iCs/>
          <w:noProof w:val="0"/>
        </w:rPr>
        <w:t xml:space="preserve"> </w:t>
      </w:r>
      <w:r w:rsidRPr="00585EFC">
        <w:rPr>
          <w:rFonts w:ascii="FrankRuehl"/>
          <w:b/>
          <w:bCs/>
          <w:i/>
          <w:iCs/>
          <w:noProof w:val="0"/>
          <w:rtl/>
        </w:rPr>
        <w:t>שעשיה</w:t>
      </w:r>
      <w:r w:rsidRPr="00585EFC">
        <w:rPr>
          <w:rFonts w:ascii="FrankRuehl"/>
          <w:b/>
          <w:bCs/>
          <w:i/>
          <w:iCs/>
          <w:noProof w:val="0"/>
        </w:rPr>
        <w:t xml:space="preserve"> </w:t>
      </w:r>
      <w:r w:rsidRPr="00585EFC">
        <w:rPr>
          <w:rFonts w:ascii="FrankRuehl"/>
          <w:b/>
          <w:bCs/>
          <w:i/>
          <w:iCs/>
          <w:noProof w:val="0"/>
          <w:rtl/>
        </w:rPr>
        <w:t>או</w:t>
      </w:r>
      <w:r w:rsidRPr="00585EFC">
        <w:rPr>
          <w:rFonts w:ascii="FrankRuehl"/>
          <w:b/>
          <w:bCs/>
          <w:i/>
          <w:iCs/>
          <w:noProof w:val="0"/>
        </w:rPr>
        <w:t xml:space="preserve"> </w:t>
      </w:r>
      <w:r w:rsidRPr="00585EFC">
        <w:rPr>
          <w:rFonts w:ascii="FrankRuehl"/>
          <w:b/>
          <w:bCs/>
          <w:i/>
          <w:iCs/>
          <w:noProof w:val="0"/>
          <w:rtl/>
        </w:rPr>
        <w:t>פעולה</w:t>
      </w:r>
      <w:r w:rsidRPr="00585EFC">
        <w:rPr>
          <w:rFonts w:ascii="FrankRuehl"/>
          <w:b/>
          <w:bCs/>
          <w:i/>
          <w:iCs/>
          <w:noProof w:val="0"/>
        </w:rPr>
        <w:t xml:space="preserve"> </w:t>
      </w:r>
      <w:r w:rsidRPr="00585EFC">
        <w:rPr>
          <w:rFonts w:ascii="FrankRuehl"/>
          <w:b/>
          <w:bCs/>
          <w:i/>
          <w:iCs/>
          <w:noProof w:val="0"/>
          <w:rtl/>
        </w:rPr>
        <w:t>שהיא</w:t>
      </w:r>
      <w:r w:rsidRPr="00585EFC">
        <w:rPr>
          <w:rFonts w:ascii="FrankRuehl"/>
          <w:b/>
          <w:bCs/>
          <w:i/>
          <w:iCs/>
          <w:noProof w:val="0"/>
        </w:rPr>
        <w:t xml:space="preserve"> </w:t>
      </w:r>
      <w:r w:rsidRPr="00585EFC">
        <w:rPr>
          <w:rFonts w:ascii="FrankRuehl"/>
          <w:b/>
          <w:bCs/>
          <w:i/>
          <w:iCs/>
          <w:noProof w:val="0"/>
          <w:rtl/>
        </w:rPr>
        <w:t>בעליל</w:t>
      </w:r>
      <w:r w:rsidRPr="00585EFC">
        <w:rPr>
          <w:rFonts w:ascii="FrankRuehl"/>
          <w:b/>
          <w:bCs/>
          <w:i/>
          <w:iCs/>
          <w:noProof w:val="0"/>
        </w:rPr>
        <w:t xml:space="preserve"> </w:t>
      </w:r>
      <w:r w:rsidRPr="00585EFC">
        <w:rPr>
          <w:rFonts w:ascii="FrankRuehl"/>
          <w:b/>
          <w:bCs/>
          <w:i/>
          <w:iCs/>
          <w:noProof w:val="0"/>
          <w:rtl/>
        </w:rPr>
        <w:t>לטובתו</w:t>
      </w:r>
      <w:r w:rsidRPr="00585EFC">
        <w:rPr>
          <w:rFonts w:ascii="FrankRuehl"/>
          <w:b/>
          <w:bCs/>
          <w:i/>
          <w:iCs/>
          <w:noProof w:val="0"/>
        </w:rPr>
        <w:t xml:space="preserve"> </w:t>
      </w:r>
      <w:r w:rsidRPr="00585EFC">
        <w:rPr>
          <w:rFonts w:ascii="FrankRuehl"/>
          <w:b/>
          <w:bCs/>
          <w:i/>
          <w:iCs/>
          <w:noProof w:val="0"/>
          <w:rtl/>
        </w:rPr>
        <w:t>של</w:t>
      </w:r>
      <w:r w:rsidRPr="00585EFC">
        <w:rPr>
          <w:rFonts w:ascii="FrankRuehl"/>
          <w:b/>
          <w:bCs/>
          <w:i/>
          <w:iCs/>
          <w:noProof w:val="0"/>
        </w:rPr>
        <w:t xml:space="preserve"> </w:t>
      </w:r>
      <w:r w:rsidRPr="00585EFC">
        <w:rPr>
          <w:rFonts w:ascii="FrankRuehl"/>
          <w:b/>
          <w:bCs/>
          <w:i/>
          <w:iCs/>
          <w:noProof w:val="0"/>
          <w:rtl/>
        </w:rPr>
        <w:t>זה האחרון</w:t>
      </w:r>
      <w:r w:rsidRPr="00585EFC">
        <w:rPr>
          <w:rFonts w:ascii="FrankRuehl"/>
          <w:b/>
          <w:bCs/>
          <w:i/>
          <w:iCs/>
          <w:noProof w:val="0"/>
        </w:rPr>
        <w:t xml:space="preserve"> </w:t>
      </w:r>
      <w:r w:rsidRPr="00585EFC">
        <w:rPr>
          <w:rFonts w:ascii="FrankRuehl"/>
          <w:b/>
          <w:bCs/>
          <w:i/>
          <w:iCs/>
          <w:noProof w:val="0"/>
          <w:rtl/>
        </w:rPr>
        <w:t>היא</w:t>
      </w:r>
      <w:r w:rsidRPr="00585EFC">
        <w:rPr>
          <w:rFonts w:ascii="FrankRuehl"/>
          <w:b/>
          <w:bCs/>
          <w:i/>
          <w:iCs/>
          <w:noProof w:val="0"/>
        </w:rPr>
        <w:t xml:space="preserve"> </w:t>
      </w:r>
      <w:r w:rsidRPr="00585EFC">
        <w:rPr>
          <w:rFonts w:ascii="FrankRuehl"/>
          <w:b/>
          <w:bCs/>
          <w:i/>
          <w:iCs/>
          <w:noProof w:val="0"/>
          <w:rtl/>
        </w:rPr>
        <w:t>תוצאה</w:t>
      </w:r>
      <w:r w:rsidRPr="00585EFC">
        <w:rPr>
          <w:rFonts w:ascii="FrankRuehl"/>
          <w:b/>
          <w:bCs/>
          <w:i/>
          <w:iCs/>
          <w:noProof w:val="0"/>
        </w:rPr>
        <w:t xml:space="preserve"> </w:t>
      </w:r>
      <w:r w:rsidRPr="00585EFC">
        <w:rPr>
          <w:rFonts w:ascii="FrankRuehl"/>
          <w:b/>
          <w:bCs/>
          <w:i/>
          <w:iCs/>
          <w:noProof w:val="0"/>
          <w:rtl/>
        </w:rPr>
        <w:t>של</w:t>
      </w:r>
      <w:r w:rsidRPr="00585EFC">
        <w:rPr>
          <w:rFonts w:ascii="FrankRuehl"/>
          <w:b/>
          <w:bCs/>
          <w:i/>
          <w:iCs/>
          <w:noProof w:val="0"/>
        </w:rPr>
        <w:t xml:space="preserve"> </w:t>
      </w:r>
      <w:r w:rsidRPr="00585EFC">
        <w:rPr>
          <w:rFonts w:ascii="FrankRuehl"/>
          <w:b/>
          <w:bCs/>
          <w:i/>
          <w:iCs/>
          <w:noProof w:val="0"/>
          <w:rtl/>
        </w:rPr>
        <w:t>השפעה</w:t>
      </w:r>
      <w:r w:rsidRPr="00585EFC">
        <w:rPr>
          <w:rFonts w:ascii="FrankRuehl"/>
          <w:b/>
          <w:bCs/>
          <w:i/>
          <w:iCs/>
          <w:noProof w:val="0"/>
        </w:rPr>
        <w:t xml:space="preserve"> </w:t>
      </w:r>
      <w:r w:rsidRPr="00585EFC">
        <w:rPr>
          <w:rFonts w:ascii="FrankRuehl"/>
          <w:b/>
          <w:bCs/>
          <w:i/>
          <w:iCs/>
          <w:noProof w:val="0"/>
          <w:rtl/>
        </w:rPr>
        <w:t>בלתי</w:t>
      </w:r>
      <w:r w:rsidRPr="00585EFC">
        <w:rPr>
          <w:rFonts w:ascii="FrankRuehl"/>
          <w:b/>
          <w:bCs/>
          <w:i/>
          <w:iCs/>
          <w:noProof w:val="0"/>
        </w:rPr>
        <w:t xml:space="preserve"> </w:t>
      </w:r>
      <w:r w:rsidRPr="00585EFC">
        <w:rPr>
          <w:rFonts w:ascii="FrankRuehl"/>
          <w:b/>
          <w:bCs/>
          <w:i/>
          <w:iCs/>
          <w:noProof w:val="0"/>
          <w:rtl/>
        </w:rPr>
        <w:t>הוגנת</w:t>
      </w:r>
      <w:r w:rsidRPr="00585EFC">
        <w:rPr>
          <w:rFonts w:ascii="FrankRuehl"/>
          <w:b/>
          <w:bCs/>
          <w:i/>
          <w:iCs/>
          <w:noProof w:val="0"/>
        </w:rPr>
        <w:t xml:space="preserve"> </w:t>
      </w:r>
      <w:r w:rsidRPr="00585EFC">
        <w:rPr>
          <w:rFonts w:ascii="FrankRuehl"/>
          <w:b/>
          <w:bCs/>
          <w:i/>
          <w:iCs/>
          <w:noProof w:val="0"/>
          <w:rtl/>
        </w:rPr>
        <w:t>מצדו</w:t>
      </w:r>
      <w:r>
        <w:rPr>
          <w:rFonts w:ascii="FrankRuehl" w:hint="cs"/>
          <w:b/>
          <w:bCs/>
          <w:i/>
          <w:iCs/>
          <w:noProof w:val="0"/>
          <w:rtl/>
        </w:rPr>
        <w:t xml:space="preserve">, </w:t>
      </w:r>
      <w:r w:rsidRPr="00585EFC">
        <w:rPr>
          <w:rFonts w:ascii="FrankRuehl"/>
          <w:b/>
          <w:bCs/>
          <w:i/>
          <w:iCs/>
          <w:noProof w:val="0"/>
          <w:rtl/>
        </w:rPr>
        <w:t>אלא</w:t>
      </w:r>
      <w:r w:rsidRPr="00585EFC">
        <w:rPr>
          <w:rFonts w:ascii="FrankRuehl"/>
          <w:b/>
          <w:bCs/>
          <w:i/>
          <w:iCs/>
          <w:noProof w:val="0"/>
        </w:rPr>
        <w:t xml:space="preserve"> </w:t>
      </w:r>
      <w:r w:rsidRPr="00585EFC">
        <w:rPr>
          <w:rFonts w:ascii="FrankRuehl"/>
          <w:b/>
          <w:bCs/>
          <w:i/>
          <w:iCs/>
          <w:noProof w:val="0"/>
          <w:rtl/>
        </w:rPr>
        <w:t>אם</w:t>
      </w:r>
      <w:r w:rsidRPr="00585EFC">
        <w:rPr>
          <w:rFonts w:ascii="FrankRuehl"/>
          <w:b/>
          <w:bCs/>
          <w:i/>
          <w:iCs/>
          <w:noProof w:val="0"/>
        </w:rPr>
        <w:t xml:space="preserve"> </w:t>
      </w:r>
      <w:r w:rsidRPr="00585EFC">
        <w:rPr>
          <w:rFonts w:ascii="FrankRuehl"/>
          <w:b/>
          <w:bCs/>
          <w:i/>
          <w:iCs/>
          <w:noProof w:val="0"/>
          <w:rtl/>
        </w:rPr>
        <w:t>הוכח</w:t>
      </w:r>
      <w:r w:rsidRPr="00585EFC">
        <w:rPr>
          <w:rFonts w:ascii="FrankRuehl"/>
          <w:b/>
          <w:bCs/>
          <w:i/>
          <w:iCs/>
          <w:noProof w:val="0"/>
        </w:rPr>
        <w:t xml:space="preserve"> </w:t>
      </w:r>
      <w:r w:rsidRPr="00585EFC">
        <w:rPr>
          <w:rFonts w:ascii="FrankRuehl"/>
          <w:b/>
          <w:bCs/>
          <w:i/>
          <w:iCs/>
          <w:noProof w:val="0"/>
          <w:rtl/>
        </w:rPr>
        <w:t>היפוכו של</w:t>
      </w:r>
      <w:r w:rsidRPr="00585EFC">
        <w:rPr>
          <w:rFonts w:ascii="FrankRuehl"/>
          <w:b/>
          <w:bCs/>
          <w:i/>
          <w:iCs/>
          <w:noProof w:val="0"/>
        </w:rPr>
        <w:t xml:space="preserve"> </w:t>
      </w:r>
      <w:r>
        <w:rPr>
          <w:rFonts w:ascii="FrankRuehl"/>
          <w:b/>
          <w:bCs/>
          <w:i/>
          <w:iCs/>
          <w:noProof w:val="0"/>
          <w:rtl/>
        </w:rPr>
        <w:t>דב</w:t>
      </w:r>
      <w:r>
        <w:rPr>
          <w:rFonts w:ascii="FrankRuehl" w:hint="cs"/>
          <w:b/>
          <w:bCs/>
          <w:i/>
          <w:iCs/>
          <w:noProof w:val="0"/>
          <w:rtl/>
        </w:rPr>
        <w:t xml:space="preserve">ר". </w:t>
      </w:r>
    </w:p>
    <w:p w:rsidR="00A57DDA" w:rsidRPr="00A20CE0" w:rsidRDefault="00A57DDA" w:rsidP="00A57DDA">
      <w:pPr>
        <w:spacing w:line="360" w:lineRule="auto"/>
        <w:jc w:val="both"/>
        <w:rPr>
          <w:rFonts w:ascii="Arial" w:hAnsi="Arial"/>
          <w:noProof w:val="0"/>
          <w:rtl/>
        </w:rPr>
      </w:pPr>
      <w:r>
        <w:rPr>
          <w:rFonts w:ascii="Arial" w:hAnsi="Arial" w:hint="cs"/>
          <w:noProof w:val="0"/>
          <w:rtl/>
        </w:rPr>
        <w:t xml:space="preserve">(ראה: ע"א 423/75 </w:t>
      </w:r>
      <w:r w:rsidRPr="00A20CE0">
        <w:rPr>
          <w:rFonts w:ascii="Arial" w:hAnsi="Arial" w:hint="cs"/>
          <w:b/>
          <w:bCs/>
          <w:noProof w:val="0"/>
          <w:rtl/>
        </w:rPr>
        <w:t>אלבכרי נ' ריכטר</w:t>
      </w:r>
      <w:r>
        <w:rPr>
          <w:rFonts w:ascii="Arial" w:hAnsi="Arial" w:hint="cs"/>
          <w:noProof w:val="0"/>
          <w:rtl/>
        </w:rPr>
        <w:t xml:space="preserve">, לא(1) 372 {פמ"מ </w:t>
      </w:r>
      <w:r>
        <w:rPr>
          <w:rFonts w:ascii="Arial" w:hAnsi="Arial"/>
          <w:noProof w:val="0"/>
          <w:rtl/>
        </w:rPr>
        <w:t>–</w:t>
      </w:r>
      <w:r>
        <w:rPr>
          <w:rFonts w:ascii="Arial" w:hAnsi="Arial" w:hint="cs"/>
          <w:noProof w:val="0"/>
          <w:rtl/>
        </w:rPr>
        <w:t xml:space="preserve"> 14.11.1976} {להלן: "</w:t>
      </w:r>
      <w:r w:rsidRPr="00C85DAE">
        <w:rPr>
          <w:rFonts w:ascii="Arial" w:hAnsi="Arial" w:hint="cs"/>
          <w:b/>
          <w:bCs/>
          <w:noProof w:val="0"/>
          <w:rtl/>
        </w:rPr>
        <w:t>עניין אלבכרי</w:t>
      </w:r>
      <w:r>
        <w:rPr>
          <w:rFonts w:ascii="Arial" w:hAnsi="Arial" w:hint="cs"/>
          <w:noProof w:val="0"/>
          <w:rtl/>
        </w:rPr>
        <w:t>").</w:t>
      </w:r>
    </w:p>
    <w:p w:rsidR="00A57DDA" w:rsidRPr="00E64CA7" w:rsidRDefault="00A57DDA" w:rsidP="00A57DDA">
      <w:pPr>
        <w:spacing w:line="360" w:lineRule="auto"/>
        <w:jc w:val="both"/>
        <w:rPr>
          <w:rFonts w:ascii="Arial" w:hAnsi="Arial"/>
          <w:noProof w:val="0"/>
          <w:sz w:val="10"/>
          <w:szCs w:val="10"/>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מדובר, למעשה, </w:t>
      </w:r>
      <w:r w:rsidRPr="00585EFC">
        <w:rPr>
          <w:rFonts w:ascii="Arial" w:hAnsi="Arial"/>
          <w:noProof w:val="0"/>
          <w:rtl/>
        </w:rPr>
        <w:t>בדוקטרינה עצמאית המאפ</w:t>
      </w:r>
      <w:r>
        <w:rPr>
          <w:rFonts w:ascii="Arial" w:hAnsi="Arial"/>
          <w:noProof w:val="0"/>
          <w:rtl/>
        </w:rPr>
        <w:t>שרת ביטול המתנה</w:t>
      </w:r>
      <w:r w:rsidRPr="00585EFC">
        <w:rPr>
          <w:rFonts w:ascii="Arial" w:hAnsi="Arial"/>
          <w:noProof w:val="0"/>
          <w:rtl/>
        </w:rPr>
        <w:t>:</w:t>
      </w:r>
    </w:p>
    <w:p w:rsidR="00A57DDA" w:rsidRPr="00E64CA7" w:rsidRDefault="00A57DDA" w:rsidP="00A57DDA">
      <w:pPr>
        <w:pStyle w:val="af1"/>
        <w:spacing w:line="360" w:lineRule="auto"/>
        <w:ind w:left="360"/>
        <w:jc w:val="both"/>
        <w:rPr>
          <w:rFonts w:ascii="Arial" w:hAnsi="Arial"/>
          <w:noProof w:val="0"/>
          <w:sz w:val="10"/>
          <w:szCs w:val="10"/>
        </w:rPr>
      </w:pPr>
    </w:p>
    <w:p w:rsidR="00A57DDA" w:rsidRPr="007545A1" w:rsidRDefault="00A57DDA" w:rsidP="00A57DDA">
      <w:pPr>
        <w:spacing w:line="360" w:lineRule="auto"/>
        <w:ind w:left="2160" w:hanging="720"/>
        <w:jc w:val="both"/>
        <w:rPr>
          <w:rFonts w:ascii="Arial" w:hAnsi="Arial"/>
          <w:b/>
          <w:bCs/>
          <w:i/>
          <w:iCs/>
          <w:noProof w:val="0"/>
          <w:rtl/>
        </w:rPr>
      </w:pPr>
      <w:r w:rsidRPr="007545A1">
        <w:rPr>
          <w:rFonts w:ascii="Arial" w:hAnsi="Arial"/>
          <w:b/>
          <w:bCs/>
          <w:i/>
          <w:iCs/>
          <w:noProof w:val="0"/>
          <w:rtl/>
        </w:rPr>
        <w:t>"60.</w:t>
      </w:r>
      <w:r w:rsidRPr="007545A1">
        <w:rPr>
          <w:rFonts w:ascii="Arial" w:hAnsi="Arial"/>
          <w:b/>
          <w:bCs/>
          <w:i/>
          <w:iCs/>
          <w:noProof w:val="0"/>
          <w:rtl/>
        </w:rPr>
        <w:tab/>
        <w:t xml:space="preserve">דיני ההשפעה הבלתי הוגנת נקלטו במשפט הישראלי מכוח סימן 46 לדבר המלך במועצתו אף טרם שנחקק </w:t>
      </w:r>
      <w:r w:rsidRPr="007545A1">
        <w:rPr>
          <w:rFonts w:ascii="Arial" w:hAnsi="Arial"/>
          <w:b/>
          <w:bCs/>
          <w:i/>
          <w:iCs/>
          <w:noProof w:val="0"/>
          <w:u w:val="single"/>
          <w:rtl/>
        </w:rPr>
        <w:t>חוק החוזים</w:t>
      </w:r>
      <w:r w:rsidRPr="007545A1">
        <w:rPr>
          <w:rFonts w:ascii="Arial" w:hAnsi="Arial"/>
          <w:b/>
          <w:bCs/>
          <w:i/>
          <w:iCs/>
          <w:noProof w:val="0"/>
          <w:rtl/>
        </w:rPr>
        <w:t xml:space="preserve">,. </w:t>
      </w:r>
      <w:r w:rsidRPr="007545A1">
        <w:rPr>
          <w:rFonts w:ascii="Arial" w:hAnsi="Arial"/>
          <w:b/>
          <w:bCs/>
          <w:i/>
          <w:iCs/>
          <w:noProof w:val="0"/>
          <w:u w:val="single"/>
          <w:rtl/>
        </w:rPr>
        <w:t>חוק החוזים</w:t>
      </w:r>
      <w:r w:rsidRPr="007545A1">
        <w:rPr>
          <w:rFonts w:ascii="Arial" w:hAnsi="Arial"/>
          <w:b/>
          <w:bCs/>
          <w:i/>
          <w:iCs/>
          <w:noProof w:val="0"/>
          <w:rtl/>
        </w:rPr>
        <w:t xml:space="preserve"> אינו מזכיר את נושא ההשפעה הבלתי הוגנת, ותחת זאת קובע את עילת העושק כאחת העילות המאפשרות ביטול חוזה.  </w:t>
      </w:r>
      <w:r w:rsidRPr="007545A1">
        <w:rPr>
          <w:rFonts w:ascii="Arial" w:hAnsi="Arial"/>
          <w:b/>
          <w:bCs/>
          <w:i/>
          <w:iCs/>
          <w:noProof w:val="0"/>
          <w:u w:val="single"/>
          <w:rtl/>
        </w:rPr>
        <w:t>בסעיף 30 לחוק הירושה, תשכ"ה - 1965</w:t>
      </w:r>
      <w:r w:rsidRPr="007545A1">
        <w:rPr>
          <w:rFonts w:ascii="Arial" w:hAnsi="Arial"/>
          <w:b/>
          <w:bCs/>
          <w:i/>
          <w:iCs/>
          <w:noProof w:val="0"/>
          <w:rtl/>
        </w:rPr>
        <w:t xml:space="preserve"> מופיעה "ההשפעה הבלתי הוגנת" כעילה לביטול צוואה. </w:t>
      </w:r>
    </w:p>
    <w:p w:rsidR="00A57DDA" w:rsidRPr="007545A1" w:rsidRDefault="00A57DDA" w:rsidP="00A57DDA">
      <w:pPr>
        <w:spacing w:line="360" w:lineRule="auto"/>
        <w:ind w:left="2160"/>
        <w:jc w:val="both"/>
        <w:rPr>
          <w:rFonts w:ascii="Arial" w:hAnsi="Arial"/>
          <w:b/>
          <w:bCs/>
          <w:i/>
          <w:iCs/>
          <w:noProof w:val="0"/>
          <w:rtl/>
        </w:rPr>
      </w:pPr>
      <w:r w:rsidRPr="007545A1">
        <w:rPr>
          <w:rFonts w:ascii="Arial" w:hAnsi="Arial"/>
          <w:b/>
          <w:bCs/>
          <w:i/>
          <w:iCs/>
          <w:noProof w:val="0"/>
          <w:rtl/>
        </w:rPr>
        <w:t>דיני ההשפעה הבלתי הוגנת מוחלים גם לגבי מתנה (ספרם של פרידמן וכהן, כרך ב' 993; ע"א 236/84).</w:t>
      </w:r>
    </w:p>
    <w:p w:rsidR="00A57DDA" w:rsidRPr="007545A1" w:rsidRDefault="00A57DDA" w:rsidP="00A57DDA">
      <w:pPr>
        <w:spacing w:line="360" w:lineRule="auto"/>
        <w:ind w:left="2160" w:hanging="459"/>
        <w:jc w:val="both"/>
        <w:rPr>
          <w:rFonts w:ascii="Arial" w:hAnsi="Arial"/>
          <w:b/>
          <w:bCs/>
          <w:i/>
          <w:iCs/>
          <w:noProof w:val="0"/>
          <w:rtl/>
        </w:rPr>
      </w:pPr>
      <w:r w:rsidRPr="007545A1">
        <w:rPr>
          <w:rFonts w:ascii="Arial" w:hAnsi="Arial"/>
          <w:b/>
          <w:bCs/>
          <w:i/>
          <w:iCs/>
          <w:noProof w:val="0"/>
          <w:rtl/>
        </w:rPr>
        <w:t>61.</w:t>
      </w:r>
      <w:r w:rsidRPr="007545A1">
        <w:rPr>
          <w:rFonts w:ascii="Arial" w:hAnsi="Arial"/>
          <w:b/>
          <w:bCs/>
          <w:i/>
          <w:iCs/>
          <w:noProof w:val="0"/>
          <w:rtl/>
        </w:rPr>
        <w:tab/>
        <w:t>על מנת שתקבע "השפעה בלתי הוגנת" נקבעת, על בית המשפט להשתכנע כי היתה השפעה פסיכולוגית או נפשית של אחד המתקשרים בהסכם, שגרמה לו לכך שלא היה לשני שיקול דעת עצמאי כשהתקשר בהסכם:</w:t>
      </w:r>
    </w:p>
    <w:p w:rsidR="00A57DDA" w:rsidRDefault="00A57DDA" w:rsidP="00A57DDA">
      <w:pPr>
        <w:spacing w:line="360" w:lineRule="auto"/>
        <w:ind w:left="2880"/>
        <w:jc w:val="both"/>
        <w:rPr>
          <w:rFonts w:ascii="Arial" w:hAnsi="Arial"/>
          <w:b/>
          <w:bCs/>
          <w:i/>
          <w:iCs/>
          <w:noProof w:val="0"/>
          <w:rtl/>
        </w:rPr>
      </w:pPr>
      <w:r w:rsidRPr="007545A1">
        <w:rPr>
          <w:rFonts w:ascii="Arial" w:hAnsi="Arial"/>
          <w:b/>
          <w:bCs/>
          <w:i/>
          <w:iCs/>
          <w:noProof w:val="0"/>
          <w:rtl/>
        </w:rPr>
        <w:t>"אם הצד בעל ההשפעה מנצל את מעמדו ואת תלותו של הצד האחר, באופן שהוא מפיק לעצמו או לצד שלישי (שלא פעל בתמורה ובתום לב) יתרון בלתי הוגן  על דרך של מתנה, צוואה או חוזה, ניתנת הפעולה לביטול על ידי הצד שפעל תחת אותה השפעה. 'עקרון זה' בעניין השפעה לא הוגנת, כך נאמר, 'חל על כל מקרה שבו נרכשת השפעה ומשתמשים בה לרעה, שבו שם אדם את מבטחו באחר והלה מאכזבו'. אמירה אחרונה זו מבליטה את העובדה שהצד האחד נתן אמונו</w:t>
      </w:r>
      <w:r w:rsidRPr="007545A1">
        <w:rPr>
          <w:rFonts w:ascii="Arial" w:hAnsi="Arial" w:hint="cs"/>
          <w:b/>
          <w:bCs/>
          <w:i/>
          <w:iCs/>
          <w:noProof w:val="0"/>
          <w:rtl/>
        </w:rPr>
        <w:t xml:space="preserve"> (</w:t>
      </w:r>
      <w:r w:rsidRPr="007545A1">
        <w:rPr>
          <w:rFonts w:ascii="Arial" w:hAnsi="Arial"/>
          <w:b/>
          <w:bCs/>
          <w:i/>
          <w:iCs/>
          <w:noProof w:val="0"/>
        </w:rPr>
        <w:t>confidence</w:t>
      </w:r>
      <w:r w:rsidRPr="007545A1">
        <w:rPr>
          <w:rFonts w:ascii="Arial" w:hAnsi="Arial"/>
          <w:b/>
          <w:bCs/>
          <w:i/>
          <w:iCs/>
          <w:noProof w:val="0"/>
          <w:rtl/>
        </w:rPr>
        <w:t xml:space="preserve">) בצד האחר. אמון </w:t>
      </w:r>
      <w:r w:rsidRPr="007545A1">
        <w:rPr>
          <w:rFonts w:ascii="Arial" w:hAnsi="Arial"/>
          <w:b/>
          <w:bCs/>
          <w:i/>
          <w:iCs/>
          <w:noProof w:val="0"/>
          <w:rtl/>
        </w:rPr>
        <w:lastRenderedPageBreak/>
        <w:t xml:space="preserve">זה הוא שמקנה לצד האחר את השפעתו, והשפעה לא הוגנת משמעה שימוש לרעה באמון או ניצול האמון שזכה בו בעל ההשפעה ... לעובדה שהעסקה היא בלתי מאוזנת ובלתי הוגנת יש ערך ראייתי להוכחת הטענה של השפעה בלתי הוגנת כשם שיש לה משקל דומה בהקשר לטענת עושק'. </w:t>
      </w:r>
      <w:r w:rsidRPr="007545A1">
        <w:rPr>
          <w:rFonts w:ascii="Arial" w:hAnsi="Arial"/>
          <w:b/>
          <w:bCs/>
          <w:noProof w:val="0"/>
          <w:rtl/>
        </w:rPr>
        <w:t>(ספרם של פרידמן וכהן, 995-997)"</w:t>
      </w:r>
      <w:r>
        <w:rPr>
          <w:rFonts w:ascii="Arial" w:hAnsi="Arial" w:hint="cs"/>
          <w:b/>
          <w:bCs/>
          <w:i/>
          <w:iCs/>
          <w:noProof w:val="0"/>
          <w:rtl/>
        </w:rPr>
        <w:t>.</w:t>
      </w:r>
    </w:p>
    <w:p w:rsidR="00A57DDA" w:rsidRDefault="00A57DDA" w:rsidP="00A57DDA">
      <w:pPr>
        <w:spacing w:line="360" w:lineRule="auto"/>
        <w:ind w:firstLine="360"/>
        <w:jc w:val="both"/>
        <w:rPr>
          <w:rFonts w:ascii="Arial" w:hAnsi="Arial"/>
          <w:noProof w:val="0"/>
          <w:rtl/>
        </w:rPr>
      </w:pPr>
      <w:r w:rsidRPr="00C85DAE">
        <w:rPr>
          <w:rFonts w:ascii="Arial" w:hAnsi="Arial" w:hint="cs"/>
          <w:noProof w:val="0"/>
          <w:rtl/>
        </w:rPr>
        <w:t>(ראה: "</w:t>
      </w:r>
      <w:r w:rsidRPr="00C85DAE">
        <w:rPr>
          <w:rFonts w:ascii="Arial" w:hAnsi="Arial" w:hint="cs"/>
          <w:b/>
          <w:bCs/>
          <w:noProof w:val="0"/>
          <w:rtl/>
        </w:rPr>
        <w:t>עניין אלבכרי</w:t>
      </w:r>
      <w:r w:rsidRPr="00C85DAE">
        <w:rPr>
          <w:rFonts w:ascii="Arial" w:hAnsi="Arial" w:hint="cs"/>
          <w:noProof w:val="0"/>
          <w:rtl/>
        </w:rPr>
        <w:t>", שם).</w:t>
      </w:r>
    </w:p>
    <w:p w:rsidR="00A57DDA" w:rsidRPr="00C85DAE" w:rsidRDefault="00A57DDA" w:rsidP="00A57DDA">
      <w:pPr>
        <w:spacing w:line="360" w:lineRule="auto"/>
        <w:jc w:val="both"/>
        <w:rPr>
          <w:rFonts w:ascii="Arial" w:hAnsi="Arial"/>
          <w:noProof w:val="0"/>
          <w:rtl/>
        </w:rPr>
      </w:pPr>
    </w:p>
    <w:p w:rsidR="00A57DDA" w:rsidRDefault="00A57DDA" w:rsidP="00A57DDA">
      <w:pPr>
        <w:pStyle w:val="af1"/>
        <w:numPr>
          <w:ilvl w:val="0"/>
          <w:numId w:val="1"/>
        </w:numPr>
        <w:spacing w:line="360" w:lineRule="auto"/>
        <w:jc w:val="both"/>
        <w:rPr>
          <w:rFonts w:ascii="Arial" w:hAnsi="Arial"/>
          <w:noProof w:val="0"/>
        </w:rPr>
      </w:pPr>
      <w:r w:rsidRPr="007545A1">
        <w:rPr>
          <w:rFonts w:ascii="Arial" w:hAnsi="Arial"/>
          <w:noProof w:val="0"/>
          <w:rtl/>
        </w:rPr>
        <w:t>השופטת ביניש (כתוארה אז)</w:t>
      </w:r>
      <w:r>
        <w:rPr>
          <w:rFonts w:ascii="Arial" w:hAnsi="Arial" w:hint="cs"/>
          <w:noProof w:val="0"/>
          <w:rtl/>
        </w:rPr>
        <w:t>,</w:t>
      </w:r>
      <w:r w:rsidRPr="007545A1">
        <w:rPr>
          <w:rFonts w:ascii="Arial" w:hAnsi="Arial"/>
          <w:noProof w:val="0"/>
          <w:rtl/>
        </w:rPr>
        <w:t xml:space="preserve"> סקרה את המבחנים שיסייעו בקביעה אם קיימת השפעה בלתי הוגנת כדלקמן:</w:t>
      </w:r>
    </w:p>
    <w:p w:rsidR="00A57DDA" w:rsidRDefault="00A57DDA" w:rsidP="00A57DDA">
      <w:pPr>
        <w:spacing w:line="360" w:lineRule="auto"/>
        <w:ind w:left="2160"/>
        <w:jc w:val="both"/>
        <w:rPr>
          <w:rFonts w:ascii="Arial" w:hAnsi="Arial"/>
          <w:b/>
          <w:bCs/>
          <w:i/>
          <w:iCs/>
          <w:noProof w:val="0"/>
          <w:rtl/>
        </w:rPr>
      </w:pPr>
      <w:r w:rsidRPr="007545A1">
        <w:rPr>
          <w:rFonts w:ascii="Arial" w:hAnsi="Arial"/>
          <w:b/>
          <w:bCs/>
          <w:i/>
          <w:iCs/>
          <w:noProof w:val="0"/>
          <w:rtl/>
        </w:rPr>
        <w:t>"על קיומה של השפעה בלתי הוגנת ניתן ללמוד מגורמים שונים ומשתנים. מצבו הפיזי של המצווה, מצבו המנטאלי והנפשי, מידת חולשתו וסוג התלות שהוא תלוי בזולת, בדידותו וניתוקו מאנשים אחרים, מערכת הקשרים בינו לבין האדם שהוא נזקק לו וקשריו עם אחרים- כל אלה יש בהם כדי להשפיע על מידת השתעבדות רצונו ואובדן השליטה בו, או על חשש מפני קיומו של מצב כזה".</w:t>
      </w:r>
    </w:p>
    <w:p w:rsidR="00A57DDA" w:rsidRPr="00921FF6" w:rsidRDefault="00A57DDA" w:rsidP="00A57DDA">
      <w:pPr>
        <w:spacing w:line="360" w:lineRule="auto"/>
        <w:ind w:left="360"/>
        <w:rPr>
          <w:rFonts w:ascii="Arial" w:hAnsi="Arial"/>
          <w:b/>
          <w:bCs/>
          <w:i/>
          <w:iCs/>
          <w:noProof w:val="0"/>
          <w:rtl/>
        </w:rPr>
      </w:pPr>
      <w:r w:rsidRPr="00921FF6">
        <w:rPr>
          <w:rFonts w:ascii="Arial" w:hAnsi="Arial" w:hint="cs"/>
          <w:b/>
          <w:bCs/>
          <w:noProof w:val="0"/>
          <w:rtl/>
        </w:rPr>
        <w:t>(</w:t>
      </w:r>
      <w:r w:rsidRPr="00921FF6">
        <w:rPr>
          <w:rFonts w:ascii="Arial" w:hAnsi="Arial" w:hint="cs"/>
          <w:noProof w:val="0"/>
          <w:rtl/>
        </w:rPr>
        <w:t>ראה</w:t>
      </w:r>
      <w:r w:rsidRPr="00921FF6">
        <w:rPr>
          <w:rFonts w:ascii="Arial" w:hAnsi="Arial" w:hint="cs"/>
          <w:b/>
          <w:bCs/>
          <w:noProof w:val="0"/>
          <w:rtl/>
        </w:rPr>
        <w:t xml:space="preserve">: </w:t>
      </w:r>
      <w:r w:rsidRPr="00921FF6">
        <w:rPr>
          <w:rFonts w:ascii="Arial" w:hAnsi="Arial"/>
          <w:noProof w:val="0"/>
          <w:rtl/>
        </w:rPr>
        <w:t xml:space="preserve">ע"א 2500/93 </w:t>
      </w:r>
      <w:r w:rsidRPr="00921FF6">
        <w:rPr>
          <w:rFonts w:ascii="Arial" w:hAnsi="Arial"/>
          <w:b/>
          <w:bCs/>
          <w:noProof w:val="0"/>
          <w:rtl/>
        </w:rPr>
        <w:t>שטיינר נ' המפעל לעזרה הדדית של ארגון עולי מרכז אירופה</w:t>
      </w:r>
      <w:r w:rsidRPr="00921FF6">
        <w:rPr>
          <w:rFonts w:ascii="Arial" w:hAnsi="Arial"/>
          <w:noProof w:val="0"/>
          <w:rtl/>
        </w:rPr>
        <w:t>, נ(3) 388</w:t>
      </w:r>
      <w:r w:rsidRPr="00921FF6">
        <w:rPr>
          <w:rFonts w:ascii="Arial" w:hAnsi="Arial" w:hint="cs"/>
          <w:noProof w:val="0"/>
          <w:rtl/>
        </w:rPr>
        <w:t xml:space="preserve"> {פמ"מ</w:t>
      </w:r>
      <w:r>
        <w:rPr>
          <w:rFonts w:ascii="Arial" w:hAnsi="Arial" w:hint="cs"/>
          <w:noProof w:val="0"/>
          <w:rtl/>
        </w:rPr>
        <w:t xml:space="preserve"> </w:t>
      </w:r>
      <w:r>
        <w:rPr>
          <w:rFonts w:ascii="Arial" w:hAnsi="Arial"/>
          <w:noProof w:val="0"/>
          <w:rtl/>
        </w:rPr>
        <w:t>–</w:t>
      </w:r>
      <w:r>
        <w:rPr>
          <w:rFonts w:ascii="Arial" w:hAnsi="Arial" w:hint="cs"/>
          <w:noProof w:val="0"/>
          <w:rtl/>
        </w:rPr>
        <w:t xml:space="preserve"> 04.09.1996}).</w:t>
      </w:r>
    </w:p>
    <w:p w:rsidR="00A57DDA" w:rsidRPr="00E64CA7" w:rsidRDefault="00A57DDA" w:rsidP="00A57DDA">
      <w:pPr>
        <w:spacing w:line="360" w:lineRule="auto"/>
        <w:ind w:left="2160"/>
        <w:jc w:val="both"/>
        <w:rPr>
          <w:rFonts w:ascii="Arial" w:hAnsi="Arial"/>
          <w:b/>
          <w:bCs/>
          <w:i/>
          <w:iCs/>
          <w:noProof w:val="0"/>
          <w:sz w:val="10"/>
          <w:szCs w:val="10"/>
          <w:rtl/>
        </w:rPr>
      </w:pPr>
    </w:p>
    <w:p w:rsidR="00A57DDA" w:rsidRDefault="00A57DDA" w:rsidP="00A57DDA">
      <w:pPr>
        <w:pStyle w:val="af1"/>
        <w:numPr>
          <w:ilvl w:val="0"/>
          <w:numId w:val="1"/>
        </w:numPr>
        <w:spacing w:line="360" w:lineRule="auto"/>
        <w:jc w:val="both"/>
        <w:rPr>
          <w:rFonts w:ascii="Arial" w:hAnsi="Arial"/>
          <w:noProof w:val="0"/>
        </w:rPr>
      </w:pPr>
      <w:r w:rsidRPr="007545A1">
        <w:rPr>
          <w:rFonts w:ascii="Arial" w:hAnsi="Arial"/>
          <w:noProof w:val="0"/>
          <w:rtl/>
        </w:rPr>
        <w:t>נטל ההוכחה שהמסמך נעשה עקב השפעה בלתי הוגנת, הוא על הטוען לה. אולם נקבע כי כאשר עולה מהנסיבות שקיימת תלות מקיפה ויסודית של אדם אחד באחר באופן המשפיע ושולל את רצונו החופשי, חזקה שקיימת השפעה בלתי הוגנת, וחובת ההוכחה לסתור חזקה</w:t>
      </w:r>
      <w:r>
        <w:rPr>
          <w:rFonts w:ascii="Arial" w:hAnsi="Arial"/>
          <w:noProof w:val="0"/>
          <w:rtl/>
        </w:rPr>
        <w:t xml:space="preserve"> זו, מוטלת על הטוען לקיום המסמך</w:t>
      </w:r>
      <w:r>
        <w:rPr>
          <w:rFonts w:ascii="Arial" w:hAnsi="Arial" w:hint="cs"/>
          <w:noProof w:val="0"/>
          <w:rtl/>
        </w:rPr>
        <w:t>.</w:t>
      </w:r>
    </w:p>
    <w:p w:rsidR="00A57DDA" w:rsidRPr="00585EFC" w:rsidRDefault="00A57DDA" w:rsidP="00A57DDA">
      <w:pPr>
        <w:spacing w:line="360" w:lineRule="auto"/>
        <w:jc w:val="both"/>
        <w:rPr>
          <w:rFonts w:ascii="Arial" w:hAnsi="Arial"/>
          <w:noProof w:val="0"/>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אמר בית המשפט העליון אגב דנ"א 1522/94 </w:t>
      </w:r>
      <w:r>
        <w:rPr>
          <w:rFonts w:ascii="Arial" w:hAnsi="Arial"/>
          <w:noProof w:val="0"/>
          <w:rtl/>
        </w:rPr>
        <w:t>–</w:t>
      </w:r>
      <w:r>
        <w:rPr>
          <w:rFonts w:ascii="Arial" w:hAnsi="Arial" w:hint="cs"/>
          <w:noProof w:val="0"/>
          <w:rtl/>
        </w:rPr>
        <w:t xml:space="preserve">בין השאר כך: </w:t>
      </w:r>
    </w:p>
    <w:p w:rsidR="00A57DDA" w:rsidRPr="00B470F4" w:rsidRDefault="00A57DDA" w:rsidP="00A57DDA">
      <w:pPr>
        <w:tabs>
          <w:tab w:val="left" w:pos="288"/>
          <w:tab w:val="left" w:pos="720"/>
          <w:tab w:val="left" w:pos="1296"/>
        </w:tabs>
        <w:autoSpaceDE w:val="0"/>
        <w:autoSpaceDN w:val="0"/>
        <w:adjustRightInd w:val="0"/>
        <w:spacing w:line="240" w:lineRule="exact"/>
        <w:ind w:left="1417"/>
        <w:jc w:val="both"/>
        <w:rPr>
          <w:rFonts w:ascii="David" w:hAnsi="David"/>
          <w:b/>
          <w:bCs/>
          <w:i/>
          <w:iCs/>
          <w:noProof w:val="0"/>
        </w:rPr>
      </w:pPr>
      <w:r w:rsidRPr="00B470F4">
        <w:rPr>
          <w:rFonts w:ascii="David" w:hAnsi="David"/>
          <w:b/>
          <w:bCs/>
          <w:i/>
          <w:iCs/>
          <w:rtl/>
        </w:rPr>
        <w:t xml:space="preserve">"א. (1) לא כל הבעת רצון משתכללת לכדי פעולה בעלת נפקות משפטית. החוק מעמיד </w:t>
      </w:r>
      <w:r w:rsidRPr="00B470F4">
        <w:rPr>
          <w:rFonts w:ascii="David" w:hAnsi="David"/>
          <w:b/>
          <w:bCs/>
          <w:i/>
          <w:iCs/>
        </w:rPr>
        <w:softHyphen/>
      </w:r>
      <w:r w:rsidRPr="00B470F4">
        <w:rPr>
          <w:rFonts w:ascii="David" w:hAnsi="David"/>
          <w:b/>
          <w:bCs/>
          <w:i/>
          <w:iCs/>
          <w:rtl/>
        </w:rPr>
        <w:t>ולא בכדי – דרישות וכללים שרק בהתקיימם הופך רצונו של אדם לפעלה משפטית בעלת תוקף מחייב. לדוגמה, דרישת הכתב במקרקעין, דרישת כתב בהתחייבות</w:t>
      </w:r>
      <w:r w:rsidRPr="00B470F4">
        <w:rPr>
          <w:rFonts w:ascii="David" w:hAnsi="David"/>
          <w:b/>
          <w:bCs/>
          <w:i/>
          <w:iCs/>
        </w:rPr>
        <w:t xml:space="preserve"> </w:t>
      </w:r>
      <w:r w:rsidRPr="00B470F4">
        <w:rPr>
          <w:rFonts w:ascii="David" w:hAnsi="David"/>
          <w:b/>
          <w:bCs/>
          <w:i/>
          <w:iCs/>
          <w:rtl/>
        </w:rPr>
        <w:t>לתת מתנה, דרישות לעניין צוואה, דרישות לעניין דרכי ביטול של התחייבות חוזית. כללים אלה מגינים על האינטרסים של כל הנוגעים בדבר, מונעים הפיכת אמירה גרידא להתחייבות מחייבת ומקנים רצינות, יציבות וודאות לאמירה הלובשת את הצוואה הנכונה כדי להשתכלל לכדי פעולה משפטית (</w:t>
      </w:r>
      <w:r w:rsidRPr="00B470F4">
        <w:rPr>
          <w:rFonts w:ascii="David" w:hAnsi="David"/>
          <w:b/>
          <w:bCs/>
          <w:i/>
          <w:iCs/>
        </w:rPr>
        <w:t xml:space="preserve"> 323</w:t>
      </w:r>
      <w:r w:rsidRPr="00B470F4">
        <w:rPr>
          <w:rFonts w:ascii="David" w:hAnsi="David"/>
          <w:b/>
          <w:bCs/>
          <w:i/>
          <w:iCs/>
          <w:rtl/>
        </w:rPr>
        <w:t>ג-ד).</w:t>
      </w:r>
    </w:p>
    <w:p w:rsidR="00A57DDA" w:rsidRPr="00B470F4" w:rsidRDefault="00A57DDA" w:rsidP="00A57DDA">
      <w:pPr>
        <w:tabs>
          <w:tab w:val="left" w:pos="288"/>
          <w:tab w:val="left" w:pos="720"/>
          <w:tab w:val="left" w:pos="1296"/>
        </w:tabs>
        <w:autoSpaceDE w:val="0"/>
        <w:autoSpaceDN w:val="0"/>
        <w:adjustRightInd w:val="0"/>
        <w:spacing w:line="240" w:lineRule="exact"/>
        <w:ind w:left="1417"/>
        <w:jc w:val="both"/>
        <w:rPr>
          <w:rFonts w:ascii="David" w:hAnsi="David"/>
          <w:b/>
          <w:bCs/>
          <w:i/>
          <w:iCs/>
          <w:rtl/>
        </w:rPr>
      </w:pPr>
      <w:r w:rsidRPr="00B470F4">
        <w:rPr>
          <w:rFonts w:ascii="David" w:hAnsi="David"/>
          <w:b/>
          <w:bCs/>
          <w:i/>
          <w:iCs/>
          <w:rtl/>
        </w:rPr>
        <w:t>(</w:t>
      </w:r>
      <w:r w:rsidRPr="00B470F4">
        <w:rPr>
          <w:rFonts w:ascii="David" w:hAnsi="David"/>
          <w:b/>
          <w:bCs/>
          <w:i/>
          <w:iCs/>
        </w:rPr>
        <w:t>2</w:t>
      </w:r>
      <w:r w:rsidRPr="00B470F4">
        <w:rPr>
          <w:rFonts w:ascii="David" w:hAnsi="David"/>
          <w:b/>
          <w:bCs/>
          <w:i/>
          <w:iCs/>
          <w:rtl/>
        </w:rPr>
        <w:t>)</w:t>
      </w:r>
      <w:r w:rsidRPr="00B470F4">
        <w:rPr>
          <w:rFonts w:ascii="David" w:hAnsi="David"/>
          <w:b/>
          <w:bCs/>
          <w:i/>
          <w:iCs/>
        </w:rPr>
        <w:t xml:space="preserve"> </w:t>
      </w:r>
      <w:r w:rsidRPr="00B470F4">
        <w:rPr>
          <w:rFonts w:ascii="David" w:hAnsi="David"/>
          <w:b/>
          <w:bCs/>
          <w:i/>
          <w:iCs/>
          <w:rtl/>
        </w:rPr>
        <w:t>במקרה דנן, המתנה שרירה וקיימת והעברת הנכס על שם העותר באמצעות ייפוי הכוח נעשתה כדין, ואין עילה או חובה משפטית המחייבות את ביטול ההעברה. אמנם רצונו האחרון של האב, שמצא ביטוי בצוואתו, היה לחלק את הזכויות בבית בין המשיבה לבין העותר, אלא שרצונו לבטל את התחייבותו לתת מתנה לא השתכלל לכדי פעולה משפטית בת-תוקף, משום שהביטול נעשה ללא יידוע העותר על אודותיו (</w:t>
      </w:r>
      <w:r w:rsidRPr="00B470F4">
        <w:rPr>
          <w:rFonts w:ascii="David" w:hAnsi="David"/>
          <w:b/>
          <w:bCs/>
          <w:i/>
          <w:iCs/>
        </w:rPr>
        <w:t xml:space="preserve"> 323</w:t>
      </w:r>
      <w:r w:rsidRPr="00B470F4">
        <w:rPr>
          <w:rFonts w:ascii="David" w:hAnsi="David"/>
          <w:b/>
          <w:bCs/>
          <w:i/>
          <w:iCs/>
          <w:rtl/>
        </w:rPr>
        <w:t>ב-ג, ה-ז).</w:t>
      </w:r>
    </w:p>
    <w:p w:rsidR="00A57DDA" w:rsidRPr="004D17E0" w:rsidRDefault="00A57DDA" w:rsidP="00A57DDA">
      <w:pPr>
        <w:tabs>
          <w:tab w:val="left" w:pos="288"/>
          <w:tab w:val="left" w:pos="720"/>
          <w:tab w:val="left" w:pos="1296"/>
        </w:tabs>
        <w:autoSpaceDE w:val="0"/>
        <w:autoSpaceDN w:val="0"/>
        <w:adjustRightInd w:val="0"/>
        <w:spacing w:line="240" w:lineRule="exact"/>
        <w:ind w:left="1417"/>
        <w:jc w:val="both"/>
        <w:rPr>
          <w:rFonts w:cs="FrankRuehl"/>
          <w:b/>
          <w:bCs/>
          <w:i/>
          <w:iCs/>
          <w:rtl/>
        </w:rPr>
      </w:pPr>
      <w:r w:rsidRPr="00B470F4">
        <w:rPr>
          <w:rFonts w:ascii="David" w:hAnsi="David"/>
          <w:b/>
          <w:bCs/>
          <w:i/>
          <w:iCs/>
          <w:rtl/>
        </w:rPr>
        <w:lastRenderedPageBreak/>
        <w:t xml:space="preserve">ב. (1) </w:t>
      </w:r>
      <w:r w:rsidRPr="004D17E0">
        <w:rPr>
          <w:rFonts w:ascii="David" w:hAnsi="David"/>
          <w:b/>
          <w:bCs/>
          <w:i/>
          <w:iCs/>
          <w:rtl/>
        </w:rPr>
        <w:t xml:space="preserve">מתנה היא חוזה. על מתנה חל </w:t>
      </w:r>
      <w:hyperlink r:id="rId8" w:history="1">
        <w:r w:rsidRPr="004D17E0">
          <w:rPr>
            <w:rStyle w:val="Hyperlink"/>
            <w:rFonts w:ascii="David" w:hAnsi="David"/>
            <w:b/>
            <w:bCs/>
            <w:i/>
            <w:iCs/>
            <w:color w:val="auto"/>
            <w:u w:val="none"/>
            <w:rtl/>
          </w:rPr>
          <w:t>חוק המתנה</w:t>
        </w:r>
      </w:hyperlink>
      <w:r w:rsidRPr="004D17E0">
        <w:rPr>
          <w:rFonts w:ascii="David" w:hAnsi="David"/>
          <w:b/>
          <w:bCs/>
          <w:i/>
          <w:iCs/>
          <w:rtl/>
        </w:rPr>
        <w:t>, תשכ"ח-</w:t>
      </w:r>
      <w:r w:rsidRPr="004D17E0">
        <w:rPr>
          <w:rFonts w:ascii="David" w:hAnsi="David"/>
          <w:b/>
          <w:bCs/>
          <w:i/>
          <w:iCs/>
        </w:rPr>
        <w:t>1968</w:t>
      </w:r>
      <w:r w:rsidRPr="004D17E0">
        <w:rPr>
          <w:rFonts w:ascii="David" w:hAnsi="David"/>
          <w:b/>
          <w:bCs/>
          <w:i/>
          <w:iCs/>
          <w:rtl/>
        </w:rPr>
        <w:t>, ובעניינים שבהם חוק</w:t>
      </w:r>
      <w:r w:rsidRPr="004D17E0">
        <w:rPr>
          <w:rFonts w:ascii="David" w:hAnsi="David"/>
          <w:b/>
          <w:bCs/>
          <w:i/>
          <w:iCs/>
        </w:rPr>
        <w:t xml:space="preserve"> </w:t>
      </w:r>
      <w:r w:rsidRPr="004D17E0">
        <w:rPr>
          <w:rFonts w:ascii="David" w:hAnsi="David"/>
          <w:b/>
          <w:bCs/>
          <w:i/>
          <w:iCs/>
          <w:rtl/>
        </w:rPr>
        <w:t xml:space="preserve">זה אינו דן במישרין, יחולו דיני החוזים הכלליים. גם התחייבות לתת מתנה היא חוזה. אף היא נשלטת על-ידי החוק ועל-ידי דיני החוזים מעבר להוראותיו הספציפיות של </w:t>
      </w:r>
      <w:hyperlink r:id="rId9" w:history="1">
        <w:r w:rsidRPr="004D17E0">
          <w:rPr>
            <w:rStyle w:val="Hyperlink"/>
            <w:rFonts w:ascii="David" w:hAnsi="David"/>
            <w:b/>
            <w:bCs/>
            <w:i/>
            <w:iCs/>
            <w:color w:val="auto"/>
            <w:u w:val="none"/>
            <w:rtl/>
          </w:rPr>
          <w:t>חוק המתנה</w:t>
        </w:r>
      </w:hyperlink>
      <w:r w:rsidRPr="004D17E0">
        <w:rPr>
          <w:rFonts w:ascii="David" w:hAnsi="David"/>
          <w:b/>
          <w:bCs/>
          <w:i/>
          <w:iCs/>
          <w:rtl/>
        </w:rPr>
        <w:t xml:space="preserve"> (</w:t>
      </w:r>
      <w:r w:rsidRPr="004D17E0">
        <w:rPr>
          <w:rFonts w:ascii="David" w:hAnsi="David"/>
          <w:b/>
          <w:bCs/>
          <w:i/>
          <w:iCs/>
        </w:rPr>
        <w:t xml:space="preserve"> 323</w:t>
      </w:r>
      <w:r w:rsidRPr="004D17E0">
        <w:rPr>
          <w:rFonts w:ascii="David" w:hAnsi="David"/>
          <w:b/>
          <w:bCs/>
          <w:i/>
          <w:iCs/>
          <w:rtl/>
        </w:rPr>
        <w:t>ז-</w:t>
      </w:r>
      <w:r w:rsidRPr="004D17E0">
        <w:rPr>
          <w:rFonts w:ascii="David" w:hAnsi="David"/>
          <w:b/>
          <w:bCs/>
          <w:i/>
          <w:iCs/>
        </w:rPr>
        <w:t xml:space="preserve"> 324</w:t>
      </w:r>
      <w:r w:rsidRPr="004D17E0">
        <w:rPr>
          <w:rFonts w:ascii="David" w:hAnsi="David"/>
          <w:b/>
          <w:bCs/>
          <w:i/>
          <w:iCs/>
          <w:rtl/>
        </w:rPr>
        <w:t>א).</w:t>
      </w:r>
    </w:p>
    <w:p w:rsidR="00A57DDA" w:rsidRPr="004D17E0" w:rsidRDefault="00A57DDA" w:rsidP="00A57DDA">
      <w:pPr>
        <w:tabs>
          <w:tab w:val="left" w:pos="288"/>
          <w:tab w:val="left" w:pos="720"/>
          <w:tab w:val="left" w:pos="1296"/>
        </w:tabs>
        <w:autoSpaceDE w:val="0"/>
        <w:autoSpaceDN w:val="0"/>
        <w:adjustRightInd w:val="0"/>
        <w:spacing w:line="240" w:lineRule="exact"/>
        <w:ind w:left="1417"/>
        <w:jc w:val="both"/>
        <w:rPr>
          <w:rFonts w:ascii="David" w:hAnsi="David"/>
          <w:b/>
          <w:bCs/>
          <w:i/>
          <w:iCs/>
          <w:rtl/>
        </w:rPr>
      </w:pPr>
      <w:r w:rsidRPr="004D17E0">
        <w:rPr>
          <w:rFonts w:ascii="David" w:hAnsi="David"/>
          <w:b/>
          <w:bCs/>
          <w:i/>
          <w:iCs/>
          <w:rtl/>
        </w:rPr>
        <w:t>(</w:t>
      </w:r>
      <w:r w:rsidRPr="004D17E0">
        <w:rPr>
          <w:rFonts w:ascii="David" w:hAnsi="David"/>
          <w:b/>
          <w:bCs/>
          <w:i/>
          <w:iCs/>
        </w:rPr>
        <w:t>2</w:t>
      </w:r>
      <w:r w:rsidRPr="004D17E0">
        <w:rPr>
          <w:rFonts w:ascii="David" w:hAnsi="David"/>
          <w:b/>
          <w:bCs/>
          <w:i/>
          <w:iCs/>
          <w:rtl/>
        </w:rPr>
        <w:t>)</w:t>
      </w:r>
      <w:r w:rsidRPr="004D17E0">
        <w:rPr>
          <w:rFonts w:ascii="David" w:hAnsi="David"/>
          <w:b/>
          <w:bCs/>
          <w:i/>
          <w:iCs/>
        </w:rPr>
        <w:t xml:space="preserve"> </w:t>
      </w:r>
      <w:r w:rsidRPr="004D17E0">
        <w:rPr>
          <w:rFonts w:ascii="David" w:hAnsi="David"/>
          <w:b/>
          <w:bCs/>
          <w:i/>
          <w:iCs/>
          <w:rtl/>
        </w:rPr>
        <w:t xml:space="preserve">סעיף </w:t>
      </w:r>
      <w:r w:rsidRPr="004D17E0">
        <w:rPr>
          <w:rFonts w:ascii="David" w:hAnsi="David"/>
          <w:b/>
          <w:bCs/>
          <w:i/>
          <w:iCs/>
        </w:rPr>
        <w:t>5</w:t>
      </w:r>
      <w:r w:rsidRPr="004D17E0">
        <w:rPr>
          <w:rFonts w:ascii="David" w:hAnsi="David"/>
          <w:b/>
          <w:bCs/>
          <w:i/>
          <w:iCs/>
          <w:rtl/>
        </w:rPr>
        <w:t xml:space="preserve">לחוק קובע כי התחייבות לתת מתנה בעתיד טעונה מסמך בכתב וכי הנותן רשאי לחזור בו מן ההתחייבות כל </w:t>
      </w:r>
      <w:bookmarkStart w:id="0" w:name="ABSTRACT_END"/>
      <w:bookmarkEnd w:id="0"/>
      <w:r w:rsidRPr="004D17E0">
        <w:rPr>
          <w:rFonts w:ascii="David" w:hAnsi="David"/>
          <w:b/>
          <w:bCs/>
          <w:i/>
          <w:iCs/>
          <w:rtl/>
        </w:rPr>
        <w:t>עוד המקבל לא שינה את מצבו בהסתמך על ההתחייבות. דרישת הכתב מלמדת על הכוונה ליצור יחס משפטי מחייב (</w:t>
      </w:r>
      <w:r w:rsidRPr="004D17E0">
        <w:rPr>
          <w:rFonts w:ascii="David" w:hAnsi="David"/>
          <w:b/>
          <w:bCs/>
          <w:i/>
          <w:iCs/>
        </w:rPr>
        <w:t xml:space="preserve"> 324</w:t>
      </w:r>
      <w:r w:rsidRPr="004D17E0">
        <w:rPr>
          <w:rFonts w:ascii="David" w:hAnsi="David"/>
          <w:b/>
          <w:bCs/>
          <w:i/>
          <w:iCs/>
          <w:rtl/>
        </w:rPr>
        <w:t>ב-ג).</w:t>
      </w:r>
    </w:p>
    <w:p w:rsidR="00A57DDA" w:rsidRPr="004D17E0" w:rsidRDefault="00A57DDA" w:rsidP="00A57DDA">
      <w:pPr>
        <w:tabs>
          <w:tab w:val="left" w:pos="288"/>
          <w:tab w:val="left" w:pos="720"/>
          <w:tab w:val="left" w:pos="1296"/>
        </w:tabs>
        <w:autoSpaceDE w:val="0"/>
        <w:autoSpaceDN w:val="0"/>
        <w:adjustRightInd w:val="0"/>
        <w:spacing w:line="240" w:lineRule="exact"/>
        <w:ind w:left="1417"/>
        <w:jc w:val="both"/>
        <w:rPr>
          <w:rFonts w:ascii="David" w:hAnsi="David"/>
          <w:b/>
          <w:bCs/>
          <w:i/>
          <w:iCs/>
          <w:rtl/>
        </w:rPr>
      </w:pPr>
      <w:r w:rsidRPr="004D17E0">
        <w:rPr>
          <w:rFonts w:ascii="David" w:hAnsi="David"/>
          <w:b/>
          <w:bCs/>
          <w:i/>
          <w:iCs/>
          <w:rtl/>
        </w:rPr>
        <w:t>(</w:t>
      </w:r>
      <w:r w:rsidRPr="004D17E0">
        <w:rPr>
          <w:rFonts w:ascii="David" w:hAnsi="David"/>
          <w:b/>
          <w:bCs/>
          <w:i/>
          <w:iCs/>
        </w:rPr>
        <w:t>3</w:t>
      </w:r>
      <w:r w:rsidRPr="004D17E0">
        <w:rPr>
          <w:rFonts w:ascii="David" w:hAnsi="David"/>
          <w:b/>
          <w:bCs/>
          <w:i/>
          <w:iCs/>
          <w:rtl/>
        </w:rPr>
        <w:t>)</w:t>
      </w:r>
      <w:r w:rsidRPr="004D17E0">
        <w:rPr>
          <w:rFonts w:ascii="David" w:hAnsi="David"/>
          <w:b/>
          <w:bCs/>
          <w:i/>
          <w:iCs/>
        </w:rPr>
        <w:t xml:space="preserve"> </w:t>
      </w:r>
      <w:r w:rsidRPr="004D17E0">
        <w:rPr>
          <w:rFonts w:ascii="David" w:hAnsi="David"/>
          <w:b/>
          <w:bCs/>
          <w:i/>
          <w:iCs/>
          <w:rtl/>
        </w:rPr>
        <w:t>הדירותה של ההתחייבות אינה נוטלת ממנה את תוקפה המחייב כל עוד לא חזר בו המתחייב ממנה, כדין. בעובדה שחוזי מתנה נעשים בדרך כלל בהקשרים חברתיים ומשפחתיים ומערכת אישית בלתי מנוכרת, אין כדי לפגוע בהיותם התחייבויות בנות תוקף משפטי (</w:t>
      </w:r>
      <w:r w:rsidRPr="004D17E0">
        <w:rPr>
          <w:rFonts w:ascii="David" w:hAnsi="David"/>
          <w:b/>
          <w:bCs/>
          <w:i/>
          <w:iCs/>
        </w:rPr>
        <w:t xml:space="preserve"> 324</w:t>
      </w:r>
      <w:r w:rsidRPr="004D17E0">
        <w:rPr>
          <w:rFonts w:ascii="David" w:hAnsi="David"/>
          <w:b/>
          <w:bCs/>
          <w:i/>
          <w:iCs/>
          <w:rtl/>
        </w:rPr>
        <w:t>ג-ד).</w:t>
      </w:r>
    </w:p>
    <w:p w:rsidR="00A57DDA" w:rsidRPr="004D17E0" w:rsidRDefault="00A57DDA" w:rsidP="00A57DDA">
      <w:pPr>
        <w:tabs>
          <w:tab w:val="left" w:pos="288"/>
          <w:tab w:val="left" w:pos="720"/>
          <w:tab w:val="left" w:pos="1296"/>
        </w:tabs>
        <w:autoSpaceDE w:val="0"/>
        <w:autoSpaceDN w:val="0"/>
        <w:adjustRightInd w:val="0"/>
        <w:spacing w:line="240" w:lineRule="exact"/>
        <w:ind w:left="1417"/>
        <w:jc w:val="both"/>
        <w:rPr>
          <w:rFonts w:ascii="David" w:hAnsi="David"/>
          <w:b/>
          <w:bCs/>
          <w:i/>
          <w:iCs/>
          <w:rtl/>
        </w:rPr>
      </w:pPr>
      <w:r w:rsidRPr="004D17E0">
        <w:rPr>
          <w:rFonts w:ascii="David" w:hAnsi="David"/>
          <w:b/>
          <w:bCs/>
          <w:i/>
          <w:iCs/>
          <w:rtl/>
        </w:rPr>
        <w:t>(</w:t>
      </w:r>
      <w:r w:rsidRPr="004D17E0">
        <w:rPr>
          <w:rFonts w:ascii="David" w:hAnsi="David"/>
          <w:b/>
          <w:bCs/>
          <w:i/>
          <w:iCs/>
        </w:rPr>
        <w:t>4</w:t>
      </w:r>
      <w:r w:rsidRPr="004D17E0">
        <w:rPr>
          <w:rFonts w:ascii="David" w:hAnsi="David"/>
          <w:b/>
          <w:bCs/>
          <w:i/>
          <w:iCs/>
          <w:rtl/>
        </w:rPr>
        <w:t>)</w:t>
      </w:r>
      <w:r w:rsidRPr="004D17E0">
        <w:rPr>
          <w:rFonts w:ascii="David" w:hAnsi="David"/>
          <w:b/>
          <w:bCs/>
          <w:i/>
          <w:iCs/>
        </w:rPr>
        <w:t xml:space="preserve"> </w:t>
      </w:r>
      <w:r w:rsidRPr="004D17E0">
        <w:rPr>
          <w:rFonts w:ascii="David" w:hAnsi="David"/>
          <w:b/>
          <w:bCs/>
          <w:i/>
          <w:iCs/>
          <w:rtl/>
        </w:rPr>
        <w:t>התחייבות לתת מתנה לעולם איננה עסקית ולעולם היא הדירה, בין שניתנת היא לבן משפחה ובין שניתנת היא לזר. אין בהיותה התחייבות לא עסקית כלפי בן משפחה, כדי לשנות לעניין תוקפה כל עוד לא בוטלה כדין, ואין</w:t>
      </w:r>
      <w:r w:rsidRPr="004D17E0">
        <w:rPr>
          <w:rFonts w:ascii="David" w:hAnsi="David"/>
          <w:b/>
          <w:bCs/>
          <w:i/>
          <w:iCs/>
        </w:rPr>
        <w:t xml:space="preserve"> </w:t>
      </w:r>
      <w:r w:rsidRPr="004D17E0">
        <w:rPr>
          <w:rFonts w:ascii="David" w:hAnsi="David"/>
          <w:b/>
          <w:bCs/>
          <w:i/>
          <w:iCs/>
          <w:rtl/>
        </w:rPr>
        <w:t xml:space="preserve">באלה כדי להשליך לדרך ביטולה, שהיא הדרך המותווית על-ידי דיני החוזים. גם בבחינת הסוגיה דרך משקפי סעיף </w:t>
      </w:r>
      <w:r w:rsidRPr="004D17E0">
        <w:rPr>
          <w:rFonts w:ascii="David" w:hAnsi="David"/>
          <w:b/>
          <w:bCs/>
          <w:i/>
          <w:iCs/>
        </w:rPr>
        <w:t>15</w:t>
      </w:r>
      <w:r w:rsidRPr="004D17E0">
        <w:rPr>
          <w:rFonts w:ascii="David" w:hAnsi="David"/>
          <w:b/>
          <w:bCs/>
          <w:i/>
          <w:iCs/>
          <w:rtl/>
        </w:rPr>
        <w:t>ל</w:t>
      </w:r>
      <w:hyperlink r:id="rId10" w:history="1">
        <w:r w:rsidRPr="004D17E0">
          <w:rPr>
            <w:rStyle w:val="Hyperlink"/>
            <w:rFonts w:ascii="David" w:hAnsi="David"/>
            <w:b/>
            <w:bCs/>
            <w:i/>
            <w:iCs/>
            <w:color w:val="auto"/>
            <w:u w:val="none"/>
            <w:rtl/>
          </w:rPr>
          <w:t>חוק השליחות</w:t>
        </w:r>
      </w:hyperlink>
      <w:r w:rsidRPr="004D17E0">
        <w:rPr>
          <w:rFonts w:ascii="David" w:hAnsi="David"/>
          <w:b/>
          <w:bCs/>
          <w:i/>
          <w:iCs/>
          <w:rtl/>
        </w:rPr>
        <w:t xml:space="preserve"> אין להבחין בין התחייבות לתת מתנה לבן משפחה לבין התחייבות עסקית מסחרית. זו גם זו התחייבות בת-תוקף משפטי הן לכל דבר ועניין (</w:t>
      </w:r>
      <w:r w:rsidRPr="004D17E0">
        <w:rPr>
          <w:rFonts w:ascii="David" w:hAnsi="David"/>
          <w:b/>
          <w:bCs/>
          <w:i/>
          <w:iCs/>
        </w:rPr>
        <w:t xml:space="preserve"> 324</w:t>
      </w:r>
      <w:r w:rsidRPr="004D17E0">
        <w:rPr>
          <w:rFonts w:ascii="David" w:hAnsi="David"/>
          <w:b/>
          <w:bCs/>
          <w:i/>
          <w:iCs/>
          <w:rtl/>
        </w:rPr>
        <w:t xml:space="preserve">ו, </w:t>
      </w:r>
      <w:r w:rsidRPr="004D17E0">
        <w:rPr>
          <w:rFonts w:ascii="David" w:hAnsi="David"/>
          <w:b/>
          <w:bCs/>
          <w:i/>
          <w:iCs/>
        </w:rPr>
        <w:t>330</w:t>
      </w:r>
      <w:r w:rsidRPr="004D17E0">
        <w:rPr>
          <w:rFonts w:ascii="David" w:hAnsi="David"/>
          <w:b/>
          <w:bCs/>
          <w:i/>
          <w:iCs/>
          <w:rtl/>
        </w:rPr>
        <w:t>ד-ה)</w:t>
      </w:r>
      <w:r w:rsidRPr="004D17E0">
        <w:rPr>
          <w:rFonts w:ascii="David" w:hAnsi="David"/>
          <w:b/>
          <w:bCs/>
          <w:i/>
          <w:iCs/>
        </w:rPr>
        <w:t>.</w:t>
      </w:r>
    </w:p>
    <w:p w:rsidR="00A57DDA" w:rsidRPr="004D17E0" w:rsidRDefault="00A57DDA" w:rsidP="00A57DDA">
      <w:pPr>
        <w:tabs>
          <w:tab w:val="left" w:pos="288"/>
          <w:tab w:val="left" w:pos="720"/>
          <w:tab w:val="left" w:pos="1296"/>
        </w:tabs>
        <w:autoSpaceDE w:val="0"/>
        <w:autoSpaceDN w:val="0"/>
        <w:adjustRightInd w:val="0"/>
        <w:spacing w:line="240" w:lineRule="exact"/>
        <w:ind w:left="1417"/>
        <w:jc w:val="both"/>
        <w:rPr>
          <w:rFonts w:ascii="David" w:hAnsi="David"/>
          <w:b/>
          <w:bCs/>
          <w:i/>
          <w:iCs/>
          <w:rtl/>
        </w:rPr>
      </w:pPr>
      <w:r w:rsidRPr="004D17E0">
        <w:rPr>
          <w:rFonts w:ascii="David" w:hAnsi="David"/>
          <w:b/>
          <w:bCs/>
          <w:i/>
          <w:iCs/>
          <w:rtl/>
        </w:rPr>
        <w:t>(</w:t>
      </w:r>
      <w:r w:rsidRPr="004D17E0">
        <w:rPr>
          <w:rFonts w:ascii="David" w:hAnsi="David"/>
          <w:b/>
          <w:bCs/>
          <w:i/>
          <w:iCs/>
        </w:rPr>
        <w:t>5</w:t>
      </w:r>
      <w:r w:rsidRPr="004D17E0">
        <w:rPr>
          <w:rFonts w:ascii="David" w:hAnsi="David"/>
          <w:b/>
          <w:bCs/>
          <w:i/>
          <w:iCs/>
          <w:rtl/>
        </w:rPr>
        <w:t>)</w:t>
      </w:r>
      <w:r w:rsidRPr="004D17E0">
        <w:rPr>
          <w:rFonts w:ascii="David" w:hAnsi="David"/>
          <w:b/>
          <w:bCs/>
          <w:i/>
          <w:iCs/>
        </w:rPr>
        <w:t xml:space="preserve"> </w:t>
      </w:r>
      <w:r w:rsidRPr="004D17E0">
        <w:rPr>
          <w:rFonts w:ascii="David" w:hAnsi="David"/>
          <w:b/>
          <w:bCs/>
          <w:i/>
          <w:iCs/>
          <w:rtl/>
        </w:rPr>
        <w:t xml:space="preserve">בעוד אשר </w:t>
      </w:r>
      <w:hyperlink r:id="rId11" w:history="1">
        <w:r w:rsidRPr="004D17E0">
          <w:rPr>
            <w:rStyle w:val="Hyperlink"/>
            <w:rFonts w:ascii="David" w:hAnsi="David"/>
            <w:b/>
            <w:bCs/>
            <w:i/>
            <w:iCs/>
            <w:color w:val="auto"/>
            <w:u w:val="none"/>
            <w:rtl/>
          </w:rPr>
          <w:t>חוק המתנה</w:t>
        </w:r>
      </w:hyperlink>
      <w:r w:rsidRPr="004D17E0">
        <w:rPr>
          <w:rFonts w:ascii="David" w:hAnsi="David"/>
          <w:b/>
          <w:bCs/>
          <w:i/>
          <w:iCs/>
          <w:rtl/>
        </w:rPr>
        <w:t xml:space="preserve"> קבע את האופן שבו תיעשה ההתחייבות (בכתב) ואת זכות המתחייב לחזור בו ממנה, לא קבע הוא את הדרך שינקוט המתחייב כדי לחזור בו מהתחייבותו. החזה מן ההתחייבות היא פעולה משפטית חד-צדדית. היא איננה דורשת הסכמת הצד האחר, אולם חל עליה העיקרון שלפיו משתכללת פעולה כזו רק אם היא נקלטת על-ידי הצד הנוגע בדבר. דרישה זאת נובעת מדיני החוזים החולשים על ההתחייבות, בין בהחלה ישירה של </w:t>
      </w:r>
      <w:hyperlink r:id="rId12" w:history="1">
        <w:r w:rsidRPr="004D17E0">
          <w:rPr>
            <w:rStyle w:val="Hyperlink"/>
            <w:rFonts w:ascii="David" w:hAnsi="David"/>
            <w:b/>
            <w:bCs/>
            <w:i/>
            <w:iCs/>
            <w:color w:val="auto"/>
            <w:u w:val="none"/>
            <w:rtl/>
          </w:rPr>
          <w:t>חוק החוזים</w:t>
        </w:r>
      </w:hyperlink>
      <w:r w:rsidRPr="004D17E0">
        <w:rPr>
          <w:rFonts w:ascii="David" w:hAnsi="David"/>
          <w:b/>
          <w:bCs/>
          <w:i/>
          <w:iCs/>
          <w:rtl/>
        </w:rPr>
        <w:t xml:space="preserve"> (חלק כללי), תשל"ג-</w:t>
      </w:r>
      <w:r w:rsidRPr="004D17E0">
        <w:rPr>
          <w:rFonts w:ascii="David" w:hAnsi="David"/>
          <w:b/>
          <w:bCs/>
          <w:i/>
          <w:iCs/>
        </w:rPr>
        <w:t>1973</w:t>
      </w:r>
      <w:r w:rsidRPr="004D17E0">
        <w:rPr>
          <w:rFonts w:ascii="David" w:hAnsi="David"/>
          <w:b/>
          <w:bCs/>
          <w:i/>
          <w:iCs/>
          <w:rtl/>
        </w:rPr>
        <w:t xml:space="preserve">, בין מכוח סעיף </w:t>
      </w:r>
      <w:r w:rsidRPr="004D17E0">
        <w:rPr>
          <w:rFonts w:ascii="David" w:hAnsi="David"/>
          <w:b/>
          <w:bCs/>
          <w:i/>
          <w:iCs/>
        </w:rPr>
        <w:t>61</w:t>
      </w:r>
      <w:r w:rsidRPr="004D17E0">
        <w:rPr>
          <w:rFonts w:ascii="David" w:hAnsi="David"/>
          <w:b/>
          <w:bCs/>
          <w:i/>
          <w:iCs/>
          <w:rtl/>
        </w:rPr>
        <w:t>(ב) לחוק זה ובין מכוח העקרונות הכלליים של הדין (</w:t>
      </w:r>
      <w:r w:rsidRPr="004D17E0">
        <w:rPr>
          <w:rFonts w:ascii="David" w:hAnsi="David"/>
          <w:b/>
          <w:bCs/>
          <w:i/>
          <w:iCs/>
        </w:rPr>
        <w:t xml:space="preserve"> 324</w:t>
      </w:r>
      <w:r w:rsidRPr="004D17E0">
        <w:rPr>
          <w:rFonts w:ascii="David" w:hAnsi="David"/>
          <w:b/>
          <w:bCs/>
          <w:i/>
          <w:iCs/>
          <w:rtl/>
        </w:rPr>
        <w:t>ז-</w:t>
      </w:r>
      <w:r w:rsidRPr="004D17E0">
        <w:rPr>
          <w:rFonts w:ascii="David" w:hAnsi="David"/>
          <w:b/>
          <w:bCs/>
          <w:i/>
          <w:iCs/>
        </w:rPr>
        <w:t xml:space="preserve"> 325</w:t>
      </w:r>
      <w:r w:rsidRPr="004D17E0">
        <w:rPr>
          <w:rFonts w:ascii="David" w:hAnsi="David"/>
          <w:b/>
          <w:bCs/>
          <w:i/>
          <w:iCs/>
          <w:rtl/>
        </w:rPr>
        <w:t>א).</w:t>
      </w:r>
    </w:p>
    <w:p w:rsidR="00A57DDA" w:rsidRPr="004D17E0" w:rsidRDefault="00A57DDA" w:rsidP="00A57DDA">
      <w:pPr>
        <w:tabs>
          <w:tab w:val="left" w:pos="288"/>
          <w:tab w:val="left" w:pos="720"/>
          <w:tab w:val="left" w:pos="1296"/>
        </w:tabs>
        <w:autoSpaceDE w:val="0"/>
        <w:autoSpaceDN w:val="0"/>
        <w:adjustRightInd w:val="0"/>
        <w:spacing w:line="240" w:lineRule="exact"/>
        <w:ind w:left="1417"/>
        <w:jc w:val="both"/>
        <w:rPr>
          <w:rFonts w:ascii="David" w:hAnsi="David"/>
          <w:b/>
          <w:bCs/>
          <w:i/>
          <w:iCs/>
          <w:rtl/>
        </w:rPr>
      </w:pPr>
      <w:r w:rsidRPr="004D17E0">
        <w:rPr>
          <w:rFonts w:ascii="David" w:hAnsi="David"/>
          <w:b/>
          <w:bCs/>
          <w:i/>
          <w:iCs/>
          <w:rtl/>
        </w:rPr>
        <w:t>(</w:t>
      </w:r>
      <w:r w:rsidRPr="004D17E0">
        <w:rPr>
          <w:rFonts w:ascii="David" w:hAnsi="David"/>
          <w:b/>
          <w:bCs/>
          <w:i/>
          <w:iCs/>
        </w:rPr>
        <w:t>6</w:t>
      </w:r>
      <w:r w:rsidRPr="004D17E0">
        <w:rPr>
          <w:rFonts w:ascii="David" w:hAnsi="David"/>
          <w:b/>
          <w:bCs/>
          <w:i/>
          <w:iCs/>
          <w:rtl/>
        </w:rPr>
        <w:t>)</w:t>
      </w:r>
      <w:r w:rsidRPr="004D17E0">
        <w:rPr>
          <w:rFonts w:ascii="David" w:hAnsi="David"/>
          <w:b/>
          <w:bCs/>
          <w:i/>
          <w:iCs/>
        </w:rPr>
        <w:t xml:space="preserve"> </w:t>
      </w:r>
      <w:r w:rsidRPr="004D17E0">
        <w:rPr>
          <w:rFonts w:ascii="David" w:hAnsi="David"/>
          <w:b/>
          <w:bCs/>
          <w:i/>
          <w:iCs/>
          <w:rtl/>
        </w:rPr>
        <w:t>נותן התחייבות לתת מתנה החפץ לבטל את התחייבותו חייב לעשות כן בתום-לב ובדרך מקובלת, שהיא, למצער, יידוע מקבל ההתחייבות על דבר ביטולה. אין להתעלם מן האינטרס של המקבל או המחזיק בהתחייבות שפיתח ציפיות למימושה (</w:t>
      </w:r>
      <w:r w:rsidRPr="004D17E0">
        <w:rPr>
          <w:rFonts w:ascii="David" w:hAnsi="David"/>
          <w:b/>
          <w:bCs/>
          <w:i/>
          <w:iCs/>
        </w:rPr>
        <w:t xml:space="preserve"> 325</w:t>
      </w:r>
      <w:r w:rsidRPr="004D17E0">
        <w:rPr>
          <w:rFonts w:ascii="David" w:hAnsi="David"/>
          <w:b/>
          <w:bCs/>
          <w:i/>
          <w:iCs/>
          <w:rtl/>
        </w:rPr>
        <w:t>א-ב).</w:t>
      </w:r>
    </w:p>
    <w:p w:rsidR="00A57DDA" w:rsidRPr="004D17E0" w:rsidRDefault="00A57DDA" w:rsidP="00A57DDA">
      <w:pPr>
        <w:tabs>
          <w:tab w:val="left" w:pos="288"/>
          <w:tab w:val="left" w:pos="720"/>
          <w:tab w:val="left" w:pos="1296"/>
        </w:tabs>
        <w:autoSpaceDE w:val="0"/>
        <w:autoSpaceDN w:val="0"/>
        <w:adjustRightInd w:val="0"/>
        <w:spacing w:line="240" w:lineRule="exact"/>
        <w:ind w:left="1417"/>
        <w:jc w:val="both"/>
        <w:rPr>
          <w:rFonts w:ascii="David" w:hAnsi="David"/>
          <w:b/>
          <w:bCs/>
          <w:i/>
          <w:iCs/>
          <w:rtl/>
        </w:rPr>
      </w:pPr>
      <w:r w:rsidRPr="004D17E0">
        <w:rPr>
          <w:rFonts w:ascii="David" w:hAnsi="David"/>
          <w:b/>
          <w:bCs/>
          <w:i/>
          <w:iCs/>
          <w:rtl/>
        </w:rPr>
        <w:t>(</w:t>
      </w:r>
      <w:r w:rsidRPr="004D17E0">
        <w:rPr>
          <w:rFonts w:ascii="David" w:hAnsi="David"/>
          <w:b/>
          <w:bCs/>
          <w:i/>
          <w:iCs/>
        </w:rPr>
        <w:t>7</w:t>
      </w:r>
      <w:r w:rsidRPr="004D17E0">
        <w:rPr>
          <w:rFonts w:ascii="David" w:hAnsi="David"/>
          <w:b/>
          <w:bCs/>
          <w:i/>
          <w:iCs/>
          <w:rtl/>
        </w:rPr>
        <w:t>)</w:t>
      </w:r>
      <w:r w:rsidRPr="004D17E0">
        <w:rPr>
          <w:rFonts w:ascii="David" w:hAnsi="David"/>
          <w:b/>
          <w:bCs/>
          <w:i/>
          <w:iCs/>
        </w:rPr>
        <w:t xml:space="preserve"> </w:t>
      </w:r>
      <w:r w:rsidRPr="004D17E0">
        <w:rPr>
          <w:rFonts w:ascii="David" w:hAnsi="David"/>
          <w:b/>
          <w:bCs/>
          <w:i/>
          <w:iCs/>
          <w:rtl/>
        </w:rPr>
        <w:t>במקרה דנן, אף שההתחייבות היא הדירה, הרי</w:t>
      </w:r>
      <w:r w:rsidRPr="004D17E0">
        <w:rPr>
          <w:rFonts w:ascii="David" w:hAnsi="David"/>
          <w:b/>
          <w:bCs/>
          <w:i/>
          <w:iCs/>
        </w:rPr>
        <w:t xml:space="preserve"> </w:t>
      </w:r>
      <w:r w:rsidRPr="004D17E0">
        <w:rPr>
          <w:rFonts w:ascii="David" w:hAnsi="David"/>
          <w:b/>
          <w:bCs/>
          <w:i/>
          <w:iCs/>
          <w:rtl/>
        </w:rPr>
        <w:t>שבאי-הבאת דבר ביטולה לידיעת העותר עומדת היא בתוקפה, ורצונו של האב המובע בצוואתו, לא השתכלל כדי ביטולה (</w:t>
      </w:r>
      <w:r w:rsidRPr="004D17E0">
        <w:rPr>
          <w:rFonts w:ascii="David" w:hAnsi="David"/>
          <w:b/>
          <w:bCs/>
          <w:i/>
          <w:iCs/>
        </w:rPr>
        <w:t xml:space="preserve"> 325</w:t>
      </w:r>
      <w:r w:rsidRPr="004D17E0">
        <w:rPr>
          <w:rFonts w:ascii="David" w:hAnsi="David"/>
          <w:b/>
          <w:bCs/>
          <w:i/>
          <w:iCs/>
          <w:rtl/>
        </w:rPr>
        <w:t>ב-ג)</w:t>
      </w:r>
      <w:r w:rsidRPr="004D17E0">
        <w:rPr>
          <w:rFonts w:ascii="David" w:hAnsi="David"/>
          <w:b/>
          <w:bCs/>
          <w:i/>
          <w:iCs/>
        </w:rPr>
        <w:t>.</w:t>
      </w:r>
    </w:p>
    <w:p w:rsidR="00A57DDA" w:rsidRPr="004D17E0" w:rsidRDefault="00A57DDA" w:rsidP="00A57DDA">
      <w:pPr>
        <w:tabs>
          <w:tab w:val="left" w:pos="288"/>
          <w:tab w:val="left" w:pos="720"/>
          <w:tab w:val="left" w:pos="1296"/>
        </w:tabs>
        <w:autoSpaceDE w:val="0"/>
        <w:autoSpaceDN w:val="0"/>
        <w:adjustRightInd w:val="0"/>
        <w:spacing w:line="240" w:lineRule="exact"/>
        <w:ind w:left="1417"/>
        <w:jc w:val="both"/>
        <w:rPr>
          <w:rFonts w:ascii="David" w:hAnsi="David"/>
          <w:b/>
          <w:bCs/>
          <w:i/>
          <w:iCs/>
        </w:rPr>
      </w:pPr>
      <w:r w:rsidRPr="004D17E0">
        <w:rPr>
          <w:rFonts w:ascii="David" w:hAnsi="David"/>
          <w:b/>
          <w:bCs/>
          <w:i/>
          <w:iCs/>
          <w:rtl/>
        </w:rPr>
        <w:t>ג. מסמך ההתחייבות שהוא המסמך המקנה את הזכות וייפוי הכוח שהוא המכשיר לביצוע</w:t>
      </w:r>
      <w:r w:rsidRPr="004D17E0">
        <w:rPr>
          <w:rFonts w:ascii="David" w:hAnsi="David"/>
          <w:b/>
          <w:bCs/>
          <w:i/>
          <w:iCs/>
        </w:rPr>
        <w:t xml:space="preserve"> </w:t>
      </w:r>
      <w:r w:rsidRPr="004D17E0">
        <w:rPr>
          <w:rFonts w:ascii="David" w:hAnsi="David"/>
          <w:b/>
          <w:bCs/>
          <w:i/>
          <w:iCs/>
          <w:rtl/>
        </w:rPr>
        <w:t>ההתחייבות, הם שני מסמכים משפטיים נפרדים הנשלטים על-ידי מערכות דינים</w:t>
      </w:r>
      <w:r w:rsidRPr="004D17E0">
        <w:rPr>
          <w:rFonts w:ascii="David" w:hAnsi="David"/>
          <w:b/>
          <w:bCs/>
          <w:i/>
          <w:iCs/>
        </w:rPr>
        <w:t xml:space="preserve"> </w:t>
      </w:r>
      <w:r w:rsidRPr="004D17E0">
        <w:rPr>
          <w:rFonts w:ascii="David" w:hAnsi="David"/>
          <w:b/>
          <w:bCs/>
          <w:i/>
          <w:iCs/>
          <w:rtl/>
        </w:rPr>
        <w:t>שונות, ואין הם בהכרח תלויים זה בזה. ייפוי הכוח אינו יוצר את הזכות (חוץ מאשר במקרים חריגים). הזכות עצמה היא חיצונית לו. תוקף ההתחייבות אינו תלוי בתוקפו של ייפוי הכוח, אולם תוקף ייפוי הכוח תלוי בתוקפה של ההתחייבות. נופלת הזכות, נופל עמה ייפוי הכוח שניתן לשם</w:t>
      </w:r>
      <w:r w:rsidRPr="004D17E0">
        <w:rPr>
          <w:rFonts w:ascii="David" w:hAnsi="David"/>
          <w:b/>
          <w:bCs/>
          <w:i/>
          <w:iCs/>
        </w:rPr>
        <w:t xml:space="preserve"> </w:t>
      </w:r>
      <w:r w:rsidRPr="004D17E0">
        <w:rPr>
          <w:rFonts w:ascii="David" w:hAnsi="David"/>
          <w:b/>
          <w:bCs/>
          <w:i/>
          <w:iCs/>
          <w:rtl/>
        </w:rPr>
        <w:t>מימושה. ממשיכה הזכות להתקיים, עדיין ניתן לבטל את ייפוי הכוח אם הוא איננו מיועד להבטחת זכותו של אחר</w:t>
      </w:r>
      <w:r w:rsidRPr="004D17E0">
        <w:rPr>
          <w:rFonts w:ascii="David" w:hAnsi="David"/>
          <w:b/>
          <w:bCs/>
          <w:i/>
          <w:iCs/>
        </w:rPr>
        <w:t>.</w:t>
      </w:r>
    </w:p>
    <w:p w:rsidR="00A57DDA" w:rsidRPr="004D17E0" w:rsidRDefault="00A57DDA" w:rsidP="00A57DDA">
      <w:pPr>
        <w:tabs>
          <w:tab w:val="left" w:pos="288"/>
          <w:tab w:val="left" w:pos="720"/>
          <w:tab w:val="left" w:pos="1296"/>
        </w:tabs>
        <w:autoSpaceDE w:val="0"/>
        <w:autoSpaceDN w:val="0"/>
        <w:adjustRightInd w:val="0"/>
        <w:spacing w:line="240" w:lineRule="exact"/>
        <w:ind w:left="1417"/>
        <w:jc w:val="both"/>
        <w:rPr>
          <w:rFonts w:ascii="David" w:hAnsi="David"/>
          <w:b/>
          <w:bCs/>
          <w:i/>
          <w:iCs/>
        </w:rPr>
      </w:pPr>
      <w:r w:rsidRPr="004D17E0">
        <w:rPr>
          <w:rFonts w:ascii="David" w:hAnsi="David"/>
          <w:b/>
          <w:bCs/>
          <w:i/>
          <w:iCs/>
          <w:rtl/>
        </w:rPr>
        <w:t xml:space="preserve"> (</w:t>
      </w:r>
      <w:r w:rsidRPr="004D17E0">
        <w:rPr>
          <w:rFonts w:ascii="David" w:hAnsi="David"/>
          <w:b/>
          <w:bCs/>
          <w:i/>
          <w:iCs/>
        </w:rPr>
        <w:t>7</w:t>
      </w:r>
      <w:r w:rsidRPr="004D17E0">
        <w:rPr>
          <w:rFonts w:ascii="David" w:hAnsi="David"/>
          <w:b/>
          <w:bCs/>
          <w:i/>
          <w:iCs/>
          <w:rtl/>
        </w:rPr>
        <w:t>)</w:t>
      </w:r>
      <w:r w:rsidRPr="004D17E0">
        <w:rPr>
          <w:rFonts w:ascii="David" w:hAnsi="David"/>
          <w:b/>
          <w:bCs/>
          <w:i/>
          <w:iCs/>
        </w:rPr>
        <w:t xml:space="preserve"> </w:t>
      </w:r>
      <w:r w:rsidRPr="004D17E0">
        <w:rPr>
          <w:rFonts w:ascii="David" w:hAnsi="David"/>
          <w:b/>
          <w:bCs/>
          <w:i/>
          <w:iCs/>
          <w:rtl/>
        </w:rPr>
        <w:t xml:space="preserve">בהתנגשות בין האינטרס המבקש לקבל ביטחון במעשים שנעשו ובנורמות שנקבעו בדין לבין האינטרס למלא אחר רצונו המאוחר של השולח גובר האינטרס הראשון. סיף </w:t>
      </w:r>
      <w:r w:rsidRPr="004D17E0">
        <w:rPr>
          <w:rFonts w:ascii="David" w:hAnsi="David"/>
          <w:b/>
          <w:bCs/>
          <w:i/>
          <w:iCs/>
        </w:rPr>
        <w:t>15</w:t>
      </w:r>
      <w:r w:rsidRPr="004D17E0">
        <w:rPr>
          <w:rFonts w:ascii="David" w:hAnsi="David"/>
          <w:b/>
          <w:bCs/>
          <w:i/>
          <w:iCs/>
          <w:rtl/>
        </w:rPr>
        <w:t xml:space="preserve"> ל</w:t>
      </w:r>
      <w:hyperlink r:id="rId13" w:history="1">
        <w:r w:rsidRPr="004D17E0">
          <w:rPr>
            <w:rStyle w:val="Hyperlink"/>
            <w:rFonts w:ascii="David" w:hAnsi="David"/>
            <w:b/>
            <w:bCs/>
            <w:i/>
            <w:iCs/>
            <w:color w:val="auto"/>
            <w:u w:val="none"/>
            <w:rtl/>
          </w:rPr>
          <w:t>חוק השליחות</w:t>
        </w:r>
      </w:hyperlink>
      <w:r w:rsidRPr="004D17E0">
        <w:rPr>
          <w:rFonts w:ascii="David" w:hAnsi="David"/>
          <w:b/>
          <w:bCs/>
          <w:i/>
          <w:iCs/>
          <w:rtl/>
        </w:rPr>
        <w:t xml:space="preserve"> מגלם בתוכו את הרעיון שלפיו כאשר רצון סמוי של השולח עומד אל מול אינטרס הביטחון במעשי השלוח ובזכויות הצד השלישי, גובר האינטרס על אותו רצון סמוי, ולשלוח והצד השלישי אופציה לראות את השליחות כנמשכת (</w:t>
      </w:r>
      <w:r w:rsidRPr="004D17E0">
        <w:rPr>
          <w:rFonts w:ascii="David" w:hAnsi="David"/>
          <w:b/>
          <w:bCs/>
          <w:i/>
          <w:iCs/>
        </w:rPr>
        <w:t xml:space="preserve"> 329</w:t>
      </w:r>
      <w:r w:rsidRPr="004D17E0">
        <w:rPr>
          <w:rFonts w:ascii="David" w:hAnsi="David"/>
          <w:b/>
          <w:bCs/>
          <w:i/>
          <w:iCs/>
          <w:rtl/>
        </w:rPr>
        <w:t>א-ב).</w:t>
      </w:r>
    </w:p>
    <w:p w:rsidR="00A57DDA" w:rsidRPr="004D17E0" w:rsidRDefault="00A57DDA" w:rsidP="00A57DDA">
      <w:pPr>
        <w:tabs>
          <w:tab w:val="left" w:pos="288"/>
          <w:tab w:val="left" w:pos="720"/>
          <w:tab w:val="left" w:pos="1296"/>
        </w:tabs>
        <w:autoSpaceDE w:val="0"/>
        <w:autoSpaceDN w:val="0"/>
        <w:adjustRightInd w:val="0"/>
        <w:spacing w:line="240" w:lineRule="exact"/>
        <w:ind w:left="1417"/>
        <w:jc w:val="both"/>
        <w:rPr>
          <w:rFonts w:ascii="David" w:hAnsi="David"/>
          <w:b/>
          <w:bCs/>
          <w:i/>
          <w:iCs/>
          <w:rtl/>
        </w:rPr>
      </w:pPr>
      <w:r w:rsidRPr="004D17E0">
        <w:rPr>
          <w:rFonts w:ascii="David" w:hAnsi="David"/>
          <w:b/>
          <w:bCs/>
          <w:i/>
          <w:iCs/>
          <w:rtl/>
        </w:rPr>
        <w:t>(</w:t>
      </w:r>
      <w:r w:rsidRPr="004D17E0">
        <w:rPr>
          <w:rFonts w:ascii="David" w:hAnsi="David"/>
          <w:b/>
          <w:bCs/>
          <w:i/>
          <w:iCs/>
        </w:rPr>
        <w:t>8</w:t>
      </w:r>
      <w:r w:rsidRPr="004D17E0">
        <w:rPr>
          <w:rFonts w:ascii="David" w:hAnsi="David"/>
          <w:b/>
          <w:bCs/>
          <w:i/>
          <w:iCs/>
          <w:rtl/>
        </w:rPr>
        <w:t>)</w:t>
      </w:r>
      <w:r w:rsidRPr="004D17E0">
        <w:rPr>
          <w:rFonts w:ascii="David" w:hAnsi="David"/>
          <w:b/>
          <w:bCs/>
          <w:i/>
          <w:iCs/>
        </w:rPr>
        <w:t xml:space="preserve"> </w:t>
      </w:r>
      <w:r w:rsidRPr="004D17E0">
        <w:rPr>
          <w:rFonts w:ascii="David" w:hAnsi="David"/>
          <w:b/>
          <w:bCs/>
          <w:i/>
          <w:iCs/>
          <w:rtl/>
        </w:rPr>
        <w:t>אין הבדל בין מקרה שבו ההתחייבות לתת מתנה מבוטלת על-ידי המתחייב</w:t>
      </w:r>
      <w:r w:rsidRPr="004D17E0">
        <w:rPr>
          <w:rFonts w:ascii="David" w:hAnsi="David"/>
          <w:b/>
          <w:bCs/>
          <w:i/>
          <w:iCs/>
        </w:rPr>
        <w:t xml:space="preserve"> </w:t>
      </w:r>
      <w:r w:rsidRPr="004D17E0">
        <w:rPr>
          <w:rFonts w:ascii="David" w:hAnsi="David"/>
          <w:b/>
          <w:bCs/>
          <w:i/>
          <w:iCs/>
          <w:rtl/>
        </w:rPr>
        <w:t xml:space="preserve">בצוואה ודבר הביטול אינו מובא לידיעת מי שלו ניתנה ההתחייבות לבין מקרה שבו נותן המתנה היה כותב פתק שבו נאמר כי הוא חוזר בו מן המתנה ומטמינו במגירת </w:t>
      </w:r>
      <w:r w:rsidRPr="004D17E0">
        <w:rPr>
          <w:rFonts w:ascii="David" w:hAnsi="David"/>
          <w:b/>
          <w:bCs/>
          <w:i/>
          <w:iCs/>
          <w:rtl/>
        </w:rPr>
        <w:lastRenderedPageBreak/>
        <w:t>שולחנו בלי שמי שלו ניתנה ההתחייבות יודע על אותו ביטול. בשני המקרים, לאחר העברת הנכס על שמו של מקבל המתנה, על-פי ייפוי הכוח שקיבל, לא ניתן להוציא את הנכס מידיו. תוצאה אחרת משמעה ערעור ודאותה של זכות הקניין, פגיעה במהימנות הרישום של המקרקעין, וטשטוש ההבחנה שבין זכות אובליגטורית שיש למקבל מתנה טרם הקנייתה לעומת גיבושה של זכות זו לכלל זכות קניינית עם הקניית המתנה (</w:t>
      </w:r>
      <w:r w:rsidRPr="004D17E0">
        <w:rPr>
          <w:rFonts w:ascii="David" w:hAnsi="David"/>
          <w:b/>
          <w:bCs/>
          <w:i/>
          <w:iCs/>
        </w:rPr>
        <w:t xml:space="preserve"> 337</w:t>
      </w:r>
      <w:r w:rsidRPr="004D17E0">
        <w:rPr>
          <w:rFonts w:ascii="David" w:hAnsi="David"/>
          <w:b/>
          <w:bCs/>
          <w:i/>
          <w:iCs/>
          <w:rtl/>
        </w:rPr>
        <w:t>א-ב).</w:t>
      </w:r>
    </w:p>
    <w:p w:rsidR="00A57DDA" w:rsidRPr="004D17E0" w:rsidRDefault="00A57DDA" w:rsidP="00A57DDA">
      <w:pPr>
        <w:tabs>
          <w:tab w:val="left" w:pos="288"/>
          <w:tab w:val="left" w:pos="720"/>
          <w:tab w:val="left" w:pos="1296"/>
        </w:tabs>
        <w:autoSpaceDE w:val="0"/>
        <w:autoSpaceDN w:val="0"/>
        <w:adjustRightInd w:val="0"/>
        <w:spacing w:line="240" w:lineRule="exact"/>
        <w:ind w:left="1417"/>
        <w:jc w:val="center"/>
        <w:rPr>
          <w:rFonts w:ascii="David" w:hAnsi="David"/>
          <w:b/>
          <w:bCs/>
          <w:i/>
          <w:iCs/>
          <w:rtl/>
        </w:rPr>
      </w:pPr>
      <w:r w:rsidRPr="004D17E0">
        <w:rPr>
          <w:rFonts w:ascii="David" w:hAnsi="David"/>
          <w:b/>
          <w:bCs/>
          <w:i/>
          <w:iCs/>
          <w:rtl/>
        </w:rPr>
        <w:t>...</w:t>
      </w:r>
    </w:p>
    <w:p w:rsidR="00A57DDA" w:rsidRPr="004D17E0" w:rsidRDefault="00A57DDA" w:rsidP="00A57DDA">
      <w:pPr>
        <w:tabs>
          <w:tab w:val="left" w:pos="288"/>
          <w:tab w:val="left" w:pos="720"/>
          <w:tab w:val="left" w:pos="1296"/>
        </w:tabs>
        <w:autoSpaceDE w:val="0"/>
        <w:autoSpaceDN w:val="0"/>
        <w:adjustRightInd w:val="0"/>
        <w:spacing w:line="240" w:lineRule="exact"/>
        <w:ind w:left="1417"/>
        <w:jc w:val="both"/>
        <w:rPr>
          <w:rFonts w:ascii="David" w:hAnsi="David"/>
          <w:b/>
          <w:bCs/>
          <w:i/>
          <w:iCs/>
          <w:rtl/>
        </w:rPr>
      </w:pPr>
      <w:r w:rsidRPr="004D17E0">
        <w:rPr>
          <w:rFonts w:ascii="David" w:hAnsi="David"/>
          <w:b/>
          <w:bCs/>
          <w:i/>
          <w:iCs/>
          <w:rtl/>
        </w:rPr>
        <w:t xml:space="preserve">ו. (1) סעיף </w:t>
      </w:r>
      <w:r w:rsidRPr="004D17E0">
        <w:rPr>
          <w:rFonts w:ascii="David" w:hAnsi="David"/>
          <w:b/>
          <w:bCs/>
          <w:i/>
          <w:iCs/>
        </w:rPr>
        <w:t>5</w:t>
      </w:r>
      <w:r w:rsidRPr="004D17E0">
        <w:rPr>
          <w:rFonts w:ascii="David" w:hAnsi="David"/>
          <w:b/>
          <w:bCs/>
          <w:i/>
          <w:iCs/>
          <w:rtl/>
        </w:rPr>
        <w:t xml:space="preserve"> ל</w:t>
      </w:r>
      <w:hyperlink r:id="rId14" w:history="1">
        <w:r w:rsidRPr="004D17E0">
          <w:rPr>
            <w:rStyle w:val="Hyperlink"/>
            <w:rFonts w:ascii="David" w:hAnsi="David"/>
            <w:b/>
            <w:bCs/>
            <w:i/>
            <w:iCs/>
            <w:color w:val="auto"/>
            <w:u w:val="none"/>
            <w:rtl/>
          </w:rPr>
          <w:t>חוק המתנה</w:t>
        </w:r>
      </w:hyperlink>
      <w:r w:rsidRPr="004D17E0">
        <w:rPr>
          <w:rFonts w:ascii="David" w:hAnsi="David"/>
          <w:b/>
          <w:bCs/>
          <w:i/>
          <w:iCs/>
          <w:rtl/>
        </w:rPr>
        <w:t xml:space="preserve"> קובע הדירותה של התחייבות לתת מתנה כל עוד לא שינה המקבל מצבו על סמך ההתחייבות. השאלה אם ההתחייבות בוטלה אם לאו, כמו השאלה אם מי שניתנה לו ההתחייבות שינה מצבו אם לאו, אינן בתחום דיני השליחות, אלא בתחום דיני המתנה ודיני החוזים (</w:t>
      </w:r>
      <w:r w:rsidRPr="004D17E0">
        <w:rPr>
          <w:rFonts w:ascii="David" w:hAnsi="David"/>
          <w:b/>
          <w:bCs/>
          <w:i/>
          <w:iCs/>
        </w:rPr>
        <w:t xml:space="preserve"> 330</w:t>
      </w:r>
      <w:r w:rsidRPr="004D17E0">
        <w:rPr>
          <w:rFonts w:ascii="David" w:hAnsi="David"/>
          <w:b/>
          <w:bCs/>
          <w:i/>
          <w:iCs/>
          <w:rtl/>
        </w:rPr>
        <w:t>ה-ו).</w:t>
      </w:r>
    </w:p>
    <w:p w:rsidR="00A57DDA" w:rsidRPr="004D17E0" w:rsidRDefault="00A57DDA" w:rsidP="00A57DDA">
      <w:pPr>
        <w:tabs>
          <w:tab w:val="left" w:pos="288"/>
          <w:tab w:val="left" w:pos="720"/>
          <w:tab w:val="left" w:pos="1296"/>
        </w:tabs>
        <w:autoSpaceDE w:val="0"/>
        <w:autoSpaceDN w:val="0"/>
        <w:adjustRightInd w:val="0"/>
        <w:spacing w:line="240" w:lineRule="exact"/>
        <w:ind w:left="1417"/>
        <w:jc w:val="both"/>
        <w:rPr>
          <w:rFonts w:ascii="David" w:hAnsi="David"/>
          <w:b/>
          <w:bCs/>
          <w:i/>
          <w:iCs/>
        </w:rPr>
      </w:pPr>
      <w:r w:rsidRPr="004D17E0">
        <w:rPr>
          <w:rFonts w:ascii="David" w:hAnsi="David"/>
          <w:b/>
          <w:bCs/>
          <w:i/>
          <w:iCs/>
          <w:rtl/>
        </w:rPr>
        <w:t>(</w:t>
      </w:r>
      <w:r w:rsidRPr="004D17E0">
        <w:rPr>
          <w:rFonts w:ascii="David" w:hAnsi="David"/>
          <w:b/>
          <w:bCs/>
          <w:i/>
          <w:iCs/>
        </w:rPr>
        <w:t>2</w:t>
      </w:r>
      <w:r w:rsidRPr="004D17E0">
        <w:rPr>
          <w:rFonts w:ascii="David" w:hAnsi="David"/>
          <w:b/>
          <w:bCs/>
          <w:i/>
          <w:iCs/>
          <w:rtl/>
        </w:rPr>
        <w:t>)</w:t>
      </w:r>
      <w:r w:rsidRPr="004D17E0">
        <w:rPr>
          <w:rFonts w:ascii="David" w:hAnsi="David"/>
          <w:b/>
          <w:bCs/>
          <w:i/>
          <w:iCs/>
        </w:rPr>
        <w:t xml:space="preserve"> </w:t>
      </w:r>
      <w:r w:rsidRPr="004D17E0">
        <w:rPr>
          <w:rFonts w:ascii="David" w:hAnsi="David"/>
          <w:b/>
          <w:bCs/>
          <w:i/>
          <w:iCs/>
          <w:rtl/>
        </w:rPr>
        <w:t>שינוי מצב כאמור יכול להתבטא בשינוי שחל בזכויות מקבל ההתחייבות</w:t>
      </w:r>
      <w:r w:rsidRPr="004D17E0">
        <w:rPr>
          <w:rFonts w:ascii="David" w:hAnsi="David"/>
          <w:b/>
          <w:bCs/>
          <w:i/>
          <w:iCs/>
        </w:rPr>
        <w:t>,</w:t>
      </w:r>
      <w:r w:rsidRPr="004D17E0">
        <w:rPr>
          <w:rFonts w:ascii="David" w:hAnsi="David"/>
          <w:b/>
          <w:bCs/>
          <w:i/>
          <w:iCs/>
          <w:rtl/>
        </w:rPr>
        <w:t xml:space="preserve"> לרבות רכישת</w:t>
      </w:r>
      <w:r w:rsidRPr="004D17E0">
        <w:rPr>
          <w:rFonts w:ascii="David" w:hAnsi="David"/>
          <w:b/>
          <w:bCs/>
          <w:i/>
          <w:iCs/>
        </w:rPr>
        <w:t xml:space="preserve"> </w:t>
      </w:r>
      <w:r w:rsidRPr="004D17E0">
        <w:rPr>
          <w:rFonts w:ascii="David" w:hAnsi="David"/>
          <w:b/>
          <w:bCs/>
          <w:i/>
          <w:iCs/>
          <w:rtl/>
        </w:rPr>
        <w:t>זכות קנייני בנכס על-ידי הגמרת המתנה. בכל מקרה, נושא שינוי המצב על-ידי מקבל ההתחייבות – כמונע הדירותה – מקומו בטרם הוגמרה המתנה ובטרם הושלמה ברישום (</w:t>
      </w:r>
      <w:r w:rsidRPr="004D17E0">
        <w:rPr>
          <w:rFonts w:ascii="David" w:hAnsi="David"/>
          <w:b/>
          <w:bCs/>
          <w:i/>
          <w:iCs/>
        </w:rPr>
        <w:t xml:space="preserve"> 330</w:t>
      </w:r>
      <w:r w:rsidRPr="004D17E0">
        <w:rPr>
          <w:rFonts w:ascii="David" w:hAnsi="David"/>
          <w:b/>
          <w:bCs/>
          <w:i/>
          <w:iCs/>
          <w:rtl/>
        </w:rPr>
        <w:t>ו-ז).</w:t>
      </w:r>
    </w:p>
    <w:p w:rsidR="00A57DDA" w:rsidRPr="004D17E0" w:rsidRDefault="00A57DDA" w:rsidP="00A57DDA">
      <w:pPr>
        <w:tabs>
          <w:tab w:val="left" w:pos="288"/>
          <w:tab w:val="left" w:pos="720"/>
          <w:tab w:val="left" w:pos="864"/>
          <w:tab w:val="left" w:pos="1296"/>
        </w:tabs>
        <w:autoSpaceDE w:val="0"/>
        <w:autoSpaceDN w:val="0"/>
        <w:adjustRightInd w:val="0"/>
        <w:spacing w:line="240" w:lineRule="exact"/>
        <w:ind w:left="1417"/>
        <w:jc w:val="center"/>
        <w:rPr>
          <w:rFonts w:ascii="David" w:hAnsi="David"/>
          <w:b/>
          <w:bCs/>
          <w:i/>
          <w:iCs/>
          <w:rtl/>
        </w:rPr>
      </w:pPr>
      <w:r w:rsidRPr="004D17E0">
        <w:rPr>
          <w:rFonts w:ascii="David" w:hAnsi="David"/>
          <w:b/>
          <w:bCs/>
          <w:i/>
          <w:iCs/>
          <w:rtl/>
        </w:rPr>
        <w:t>...</w:t>
      </w:r>
    </w:p>
    <w:p w:rsidR="00A57DDA" w:rsidRPr="004D17E0" w:rsidRDefault="00A57DDA" w:rsidP="00A57DDA">
      <w:pPr>
        <w:tabs>
          <w:tab w:val="left" w:pos="288"/>
          <w:tab w:val="left" w:pos="720"/>
          <w:tab w:val="left" w:pos="864"/>
          <w:tab w:val="left" w:pos="1296"/>
        </w:tabs>
        <w:autoSpaceDE w:val="0"/>
        <w:autoSpaceDN w:val="0"/>
        <w:adjustRightInd w:val="0"/>
        <w:spacing w:line="240" w:lineRule="exact"/>
        <w:ind w:left="1417"/>
        <w:jc w:val="both"/>
        <w:rPr>
          <w:rFonts w:ascii="David" w:hAnsi="David"/>
          <w:b/>
          <w:bCs/>
          <w:i/>
          <w:iCs/>
          <w:rtl/>
        </w:rPr>
      </w:pPr>
      <w:r w:rsidRPr="004D17E0">
        <w:rPr>
          <w:rFonts w:ascii="David" w:hAnsi="David"/>
          <w:b/>
          <w:bCs/>
          <w:i/>
          <w:iCs/>
          <w:rtl/>
        </w:rPr>
        <w:t>ט. (1) מקום שעומדות, זו מול זו, התחייבות הדירה למתן מתנה לפלוני וייפוי-כוח רגיל, מחד גיסא, וצוואה מאוחרת שגם היא הדירה המזכה באותה מתנה את אלמוני, מאידך גיסא, וזאת בשלב שבו טרם בוצעה העברה כדין של זכות הקניין במתנה, יש מקום לשקול שתי זכויות אובליגטוריות אלה זו מול זו ולקבוע את סדר העדיפויות ביניהן. ייתכן שבמקרה כזה תיסוג ההתחייבות המוקדמת מפני המאוחרת (</w:t>
      </w:r>
      <w:r w:rsidRPr="004D17E0">
        <w:rPr>
          <w:rFonts w:ascii="David" w:hAnsi="David"/>
          <w:b/>
          <w:bCs/>
          <w:i/>
          <w:iCs/>
        </w:rPr>
        <w:t xml:space="preserve"> 334</w:t>
      </w:r>
      <w:r w:rsidRPr="004D17E0">
        <w:rPr>
          <w:rFonts w:ascii="David" w:hAnsi="David"/>
          <w:b/>
          <w:bCs/>
          <w:i/>
          <w:iCs/>
          <w:rtl/>
        </w:rPr>
        <w:t>ה)."</w:t>
      </w:r>
    </w:p>
    <w:p w:rsidR="00A57DDA" w:rsidRPr="004D17E0" w:rsidRDefault="00A57DDA" w:rsidP="00A57DDA">
      <w:pPr>
        <w:tabs>
          <w:tab w:val="left" w:pos="288"/>
          <w:tab w:val="left" w:pos="720"/>
          <w:tab w:val="left" w:pos="864"/>
          <w:tab w:val="left" w:pos="1296"/>
        </w:tabs>
        <w:autoSpaceDE w:val="0"/>
        <w:autoSpaceDN w:val="0"/>
        <w:adjustRightInd w:val="0"/>
        <w:spacing w:line="240" w:lineRule="exact"/>
        <w:ind w:left="1417"/>
        <w:jc w:val="both"/>
        <w:rPr>
          <w:rFonts w:cs="FrankRuehl"/>
          <w:b/>
          <w:bCs/>
          <w:i/>
          <w:iCs/>
          <w:rtl/>
        </w:rPr>
      </w:pPr>
    </w:p>
    <w:p w:rsidR="00A57DDA" w:rsidRPr="00921FF6" w:rsidRDefault="00A57DDA" w:rsidP="00A57DDA">
      <w:pPr>
        <w:tabs>
          <w:tab w:val="left" w:pos="288"/>
          <w:tab w:val="left" w:pos="720"/>
          <w:tab w:val="left" w:pos="864"/>
          <w:tab w:val="left" w:pos="1296"/>
        </w:tabs>
        <w:autoSpaceDE w:val="0"/>
        <w:autoSpaceDN w:val="0"/>
        <w:adjustRightInd w:val="0"/>
        <w:spacing w:line="240" w:lineRule="exact"/>
        <w:ind w:left="1417"/>
        <w:jc w:val="both"/>
        <w:rPr>
          <w:rFonts w:ascii="David" w:hAnsi="David"/>
          <w:rtl/>
        </w:rPr>
      </w:pPr>
      <w:r>
        <w:rPr>
          <w:rFonts w:ascii="David" w:hAnsi="David" w:hint="cs"/>
          <w:rtl/>
        </w:rPr>
        <w:t xml:space="preserve">(ראה: דנ"א 1522/94 </w:t>
      </w:r>
      <w:r w:rsidRPr="00921FF6">
        <w:rPr>
          <w:rFonts w:ascii="Arial" w:hAnsi="Arial" w:hint="cs"/>
          <w:b/>
          <w:bCs/>
          <w:noProof w:val="0"/>
          <w:rtl/>
        </w:rPr>
        <w:t>נייגר נ' מיטלברג,</w:t>
      </w:r>
      <w:r>
        <w:rPr>
          <w:rFonts w:ascii="Arial" w:hAnsi="Arial" w:hint="cs"/>
          <w:noProof w:val="0"/>
          <w:rtl/>
        </w:rPr>
        <w:t xml:space="preserve"> מט(5) 315 {פמ"מ </w:t>
      </w:r>
      <w:r>
        <w:rPr>
          <w:rFonts w:ascii="Arial" w:hAnsi="Arial"/>
          <w:noProof w:val="0"/>
          <w:rtl/>
        </w:rPr>
        <w:t>–</w:t>
      </w:r>
      <w:r>
        <w:rPr>
          <w:rFonts w:ascii="Arial" w:hAnsi="Arial" w:hint="cs"/>
          <w:noProof w:val="0"/>
          <w:rtl/>
        </w:rPr>
        <w:t xml:space="preserve"> 06.02.1996}).</w:t>
      </w:r>
    </w:p>
    <w:p w:rsidR="00A57DDA" w:rsidRDefault="00A57DDA" w:rsidP="00A57DDA">
      <w:pPr>
        <w:pStyle w:val="af1"/>
        <w:spacing w:line="360" w:lineRule="auto"/>
        <w:ind w:left="360"/>
        <w:jc w:val="both"/>
        <w:rPr>
          <w:rFonts w:ascii="Arial" w:hAnsi="Arial"/>
          <w:noProof w:val="0"/>
          <w:rtl/>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אמר בין השאר בית המשפט העליון אגב ע"א 350/96 כך: </w:t>
      </w:r>
    </w:p>
    <w:p w:rsidR="00A57DDA" w:rsidRPr="00B64A04" w:rsidRDefault="00A57DDA" w:rsidP="00A57DDA">
      <w:pPr>
        <w:pStyle w:val="af1"/>
        <w:spacing w:line="360" w:lineRule="auto"/>
        <w:ind w:left="360"/>
        <w:jc w:val="both"/>
        <w:rPr>
          <w:rFonts w:ascii="Arial" w:hAnsi="Arial"/>
          <w:noProof w:val="0"/>
          <w:sz w:val="12"/>
          <w:szCs w:val="12"/>
          <w:rtl/>
        </w:rPr>
      </w:pPr>
    </w:p>
    <w:p w:rsidR="00A57DDA" w:rsidRPr="00E83F9F" w:rsidRDefault="00A57DDA" w:rsidP="00A57DDA">
      <w:pPr>
        <w:spacing w:line="300" w:lineRule="atLeast"/>
        <w:ind w:left="1842" w:hanging="708"/>
        <w:jc w:val="both"/>
        <w:rPr>
          <w:rFonts w:ascii="David" w:hAnsi="David"/>
          <w:b/>
          <w:bCs/>
          <w:i/>
          <w:iCs/>
          <w:noProof w:val="0"/>
          <w:color w:val="000000"/>
          <w:rtl/>
        </w:rPr>
      </w:pPr>
      <w:r w:rsidRPr="00E83F9F">
        <w:rPr>
          <w:rFonts w:ascii="David" w:hAnsi="David"/>
          <w:b/>
          <w:bCs/>
          <w:i/>
          <w:iCs/>
          <w:noProof w:val="0"/>
          <w:color w:val="000000"/>
          <w:rtl/>
        </w:rPr>
        <w:t>"א. (1) כאמור בסעיף 5(ג) לחוק המתנה, תשכ"ח-1968 (להלן - החוק), זכות החזרה של נותן המתנה מהתחייבותו, אף אם ויתר עליה בכתב, עומדת אם התנהגותו של מקבל המתנה היא מחפירה, או בשל הרעה כלכלית ניכרת במצבו של נותן המתנה, וכל זאת כל עוד לא נמסרה המתנה. בכך איזן המחוקק בין הצורך להגן על נותן המתנה לבין הרצון להבטיח את ודאות הקניין (803ז - 804א).</w:t>
      </w:r>
    </w:p>
    <w:p w:rsidR="00A57DDA" w:rsidRPr="00E83F9F" w:rsidRDefault="00A57DDA" w:rsidP="00A57DDA">
      <w:pPr>
        <w:spacing w:line="300" w:lineRule="atLeast"/>
        <w:ind w:left="1842" w:hanging="708"/>
        <w:jc w:val="both"/>
        <w:rPr>
          <w:rFonts w:ascii="David" w:hAnsi="David"/>
          <w:b/>
          <w:bCs/>
          <w:i/>
          <w:iCs/>
          <w:noProof w:val="0"/>
          <w:color w:val="000000"/>
          <w:rtl/>
        </w:rPr>
      </w:pPr>
      <w:r w:rsidRPr="00E83F9F">
        <w:rPr>
          <w:rFonts w:ascii="David" w:hAnsi="David"/>
          <w:b/>
          <w:bCs/>
          <w:i/>
          <w:iCs/>
          <w:noProof w:val="0"/>
          <w:color w:val="000000"/>
          <w:rtl/>
        </w:rPr>
        <w:t>      (2) אף הגשת תביעה על-ידי מי שכלפיו מתחייבים לתת מתנה אינה שוללת את זכות החזרה של המתחייב, שיסודה בהתנהגות המחפירה כלפיו מצד מקבל המתנה. גם</w:t>
      </w:r>
    </w:p>
    <w:p w:rsidR="00A57DDA" w:rsidRPr="00E83F9F" w:rsidRDefault="00A57DDA" w:rsidP="00A57DDA">
      <w:pPr>
        <w:spacing w:line="300" w:lineRule="atLeast"/>
        <w:ind w:left="1842" w:hanging="708"/>
        <w:jc w:val="both"/>
        <w:rPr>
          <w:rFonts w:ascii="David" w:hAnsi="David"/>
          <w:b/>
          <w:bCs/>
          <w:i/>
          <w:iCs/>
          <w:noProof w:val="0"/>
          <w:color w:val="000000"/>
          <w:rtl/>
        </w:rPr>
      </w:pPr>
      <w:r w:rsidRPr="00E83F9F">
        <w:rPr>
          <w:rFonts w:ascii="David" w:hAnsi="David"/>
          <w:b/>
          <w:bCs/>
          <w:i/>
          <w:iCs/>
          <w:noProof w:val="0"/>
          <w:color w:val="000000"/>
          <w:rtl/>
        </w:rPr>
        <w:t>   </w:t>
      </w:r>
      <w:r w:rsidRPr="00E83F9F">
        <w:rPr>
          <w:rFonts w:ascii="David" w:hAnsi="David"/>
          <w:b/>
          <w:bCs/>
          <w:i/>
          <w:iCs/>
          <w:noProof w:val="0"/>
          <w:color w:val="000000"/>
          <w:rtl/>
        </w:rPr>
        <w:tab/>
        <w:t>לאחר מתן פסק-דין לטובת מי שכלפיו מתחייבים לתת מתנה, עדיין מקימה התנהגות מחפירה שלו כלפי המתחייב את זכות החזרה. הדבר שקול לתנאי הקבוע בחוזה לביצועו, הקיים ועומד אף לאחר שניתן פסק-דין לאכיפת החוזה (804ב - ג).</w:t>
      </w:r>
    </w:p>
    <w:p w:rsidR="00A57DDA" w:rsidRPr="00E83F9F" w:rsidRDefault="00A57DDA" w:rsidP="00A57DDA">
      <w:pPr>
        <w:spacing w:line="300" w:lineRule="atLeast"/>
        <w:ind w:left="1842" w:hanging="708"/>
        <w:jc w:val="both"/>
        <w:rPr>
          <w:rFonts w:ascii="David" w:hAnsi="David"/>
          <w:b/>
          <w:bCs/>
          <w:i/>
          <w:iCs/>
          <w:noProof w:val="0"/>
          <w:color w:val="000000"/>
          <w:rtl/>
        </w:rPr>
      </w:pPr>
      <w:r w:rsidRPr="00E83F9F">
        <w:rPr>
          <w:rFonts w:ascii="David" w:hAnsi="David"/>
          <w:b/>
          <w:bCs/>
          <w:i/>
          <w:iCs/>
          <w:noProof w:val="0"/>
          <w:color w:val="000000"/>
          <w:rtl/>
        </w:rPr>
        <w:t> ב. (1)</w:t>
      </w:r>
      <w:r w:rsidRPr="00E83F9F">
        <w:rPr>
          <w:rFonts w:ascii="David" w:hAnsi="David"/>
          <w:b/>
          <w:bCs/>
          <w:i/>
          <w:iCs/>
          <w:noProof w:val="0"/>
          <w:color w:val="000000"/>
          <w:rtl/>
        </w:rPr>
        <w:tab/>
        <w:t>יש לפרש את הביטוי "התנהגות מחפירה" פרשנות רחבה, המקלה על מי שהתחייב לתת מתנה, שהמקבל נהג בו שלא כראוי, לחזור בו מהתחייבותו. ההתחייבות לתת מתנה בעתיד הינה התחייבות חד-צדדית מצדו של הנותן. היא בגדר מעשה צדקה וחסד שעושה הנותן עם המקבל, וביסודה אינה הרבה יותר מהבטחה בעלת תוקף מוסרי שהחוק הוסיף לה - בהתקיים תנאים מסוימים שנקבעו - גם תוקף משפטי מסוים (812א, ז - 813א).</w:t>
      </w:r>
    </w:p>
    <w:p w:rsidR="00A57DDA" w:rsidRPr="00E83F9F" w:rsidRDefault="00A57DDA" w:rsidP="00A57DDA">
      <w:pPr>
        <w:spacing w:line="300" w:lineRule="atLeast"/>
        <w:ind w:left="1842" w:hanging="402"/>
        <w:jc w:val="both"/>
        <w:rPr>
          <w:rFonts w:ascii="David" w:hAnsi="David"/>
          <w:b/>
          <w:bCs/>
          <w:i/>
          <w:iCs/>
          <w:noProof w:val="0"/>
          <w:color w:val="000000"/>
          <w:rtl/>
        </w:rPr>
      </w:pPr>
      <w:r w:rsidRPr="00E83F9F">
        <w:rPr>
          <w:rFonts w:ascii="David" w:hAnsi="David"/>
          <w:b/>
          <w:bCs/>
          <w:i/>
          <w:iCs/>
          <w:noProof w:val="0"/>
          <w:color w:val="000000"/>
          <w:rtl/>
        </w:rPr>
        <w:lastRenderedPageBreak/>
        <w:t>(2) עוצמת התחייבותו של נותן מתנה לתת אותה, לרבות עוצמת התחייבותו לא לחזור בו מן הנתינה, חלשה לאין ערוך מעוצמת התחייבותו של מתקשר בחוזה.</w:t>
      </w:r>
    </w:p>
    <w:p w:rsidR="00A57DDA" w:rsidRPr="00E83F9F" w:rsidRDefault="00A57DDA" w:rsidP="00A57DDA">
      <w:pPr>
        <w:spacing w:line="300" w:lineRule="atLeast"/>
        <w:ind w:left="1842" w:hanging="708"/>
        <w:jc w:val="both"/>
        <w:rPr>
          <w:rFonts w:ascii="David" w:hAnsi="David"/>
          <w:b/>
          <w:bCs/>
          <w:i/>
          <w:iCs/>
          <w:noProof w:val="0"/>
          <w:color w:val="000000"/>
          <w:rtl/>
        </w:rPr>
      </w:pPr>
      <w:r w:rsidRPr="00E83F9F">
        <w:rPr>
          <w:rFonts w:ascii="David" w:hAnsi="David"/>
          <w:b/>
          <w:bCs/>
          <w:i/>
          <w:iCs/>
          <w:noProof w:val="0"/>
          <w:color w:val="000000"/>
          <w:rtl/>
        </w:rPr>
        <w:t> </w:t>
      </w:r>
      <w:r w:rsidRPr="00E83F9F">
        <w:rPr>
          <w:rFonts w:ascii="David" w:hAnsi="David"/>
          <w:b/>
          <w:bCs/>
          <w:i/>
          <w:iCs/>
          <w:noProof w:val="0"/>
          <w:color w:val="000000"/>
          <w:rtl/>
        </w:rPr>
        <w:tab/>
        <w:t>כך גם משקל ציפייתו של מי שאמור לקבל את המתנה, לרבות משקל ההסתמכות שלו על ההתחייבות לתתה, שהיא, בדרך-כלל, כ"משקל נוצה" לעומת משקל זכותו של הנותן לחזור בו (813ז).</w:t>
      </w:r>
    </w:p>
    <w:p w:rsidR="00A57DDA" w:rsidRPr="00E83F9F" w:rsidRDefault="00A57DDA" w:rsidP="00A57DDA">
      <w:pPr>
        <w:spacing w:line="300" w:lineRule="atLeast"/>
        <w:ind w:left="1842" w:hanging="708"/>
        <w:jc w:val="both"/>
        <w:rPr>
          <w:rFonts w:ascii="David" w:hAnsi="David"/>
          <w:b/>
          <w:bCs/>
          <w:i/>
          <w:iCs/>
          <w:noProof w:val="0"/>
          <w:color w:val="000000"/>
          <w:rtl/>
        </w:rPr>
      </w:pPr>
      <w:r w:rsidRPr="00E83F9F">
        <w:rPr>
          <w:rFonts w:ascii="David" w:hAnsi="David"/>
          <w:b/>
          <w:bCs/>
          <w:i/>
          <w:iCs/>
          <w:noProof w:val="0"/>
          <w:color w:val="000000"/>
          <w:rtl/>
        </w:rPr>
        <w:t xml:space="preserve">      (3) </w:t>
      </w:r>
      <w:r w:rsidRPr="00E83F9F">
        <w:rPr>
          <w:rFonts w:ascii="David" w:hAnsi="David"/>
          <w:b/>
          <w:bCs/>
          <w:i/>
          <w:iCs/>
          <w:noProof w:val="0"/>
          <w:color w:val="000000"/>
          <w:rtl/>
        </w:rPr>
        <w:tab/>
        <w:t>הכלל המשתמע מתוך כל סעיפי החוק הוא כי למעט החריגים, רשאי נותן המתנה לחזור בו מן המתנה עד הקנייתה למקבל, ואף אחרי הנתינה, אם לא מילא המקבל חיוב שבו הותנתה. לכלל הרחב המתיר חזרה מן המתנה יש חריגים שיש לפרשם בצמצום, כך שהיציאה מן הכלל תהיה מצומצמת ככל האפשר. "התנהגות מחפירה" של המקבל היא חריג לחריגים המונעים את הנותן מלחזור בו. יש לפרש אפוא חריג זה פרשנות רחבה, על-מנת לצמצם, כאמור, את היציאה מן הכלל (814א - ג).</w:t>
      </w:r>
    </w:p>
    <w:p w:rsidR="00A57DDA" w:rsidRPr="00E83F9F" w:rsidRDefault="00A57DDA" w:rsidP="00A57DDA">
      <w:pPr>
        <w:spacing w:line="300" w:lineRule="atLeast"/>
        <w:ind w:left="1842" w:hanging="708"/>
        <w:jc w:val="both"/>
        <w:rPr>
          <w:rFonts w:ascii="David" w:hAnsi="David"/>
          <w:b/>
          <w:bCs/>
          <w:i/>
          <w:iCs/>
          <w:noProof w:val="0"/>
          <w:color w:val="000000"/>
          <w:rtl/>
        </w:rPr>
      </w:pPr>
      <w:r w:rsidRPr="00E83F9F">
        <w:rPr>
          <w:rFonts w:ascii="David" w:hAnsi="David"/>
          <w:b/>
          <w:bCs/>
          <w:i/>
          <w:iCs/>
          <w:noProof w:val="0"/>
          <w:color w:val="000000"/>
          <w:rtl/>
        </w:rPr>
        <w:t xml:space="preserve">      (4) </w:t>
      </w:r>
      <w:r w:rsidRPr="00E83F9F">
        <w:rPr>
          <w:rFonts w:ascii="David" w:hAnsi="David"/>
          <w:b/>
          <w:bCs/>
          <w:i/>
          <w:iCs/>
          <w:noProof w:val="0"/>
          <w:color w:val="000000"/>
          <w:rtl/>
        </w:rPr>
        <w:tab/>
        <w:t>לאור מאפייניה של המתנה, נגזרת מחובת תום-הלב המוטלת על המקבל חובתו לנהוג כלפי הנותן בהכרת תודה, בכבוד ובדרך-ארץ. לאור אופייה המיוחד של המתנה וחובת תום-הלב של המקבל, אין לפרש את הביטוי "התנהגות מחפירה" לפי משמעותו הרגילה, אלא לפי המשמעות שיש לתת לו על רקע מערכת היחסים שבין נותן המתנה ומקבל המתנה. לדוגמה, מילת גנאי, אמירה של זלזול ואפילו עקימת פרצוף, שייחשבו עניין של מה בכך על רקע מערכת יחסים אחרת, משמעותן רעה וחמורה כאשר מדובר בנותן מתנה ובמקבלה. לעניינו של סעיף 5(ג) לחוק, די בהתנהגות בלתי ראויה כלשהי כדי להקים את עילת החזרה (814ה - ז)."</w:t>
      </w:r>
    </w:p>
    <w:p w:rsidR="00A57DDA" w:rsidRDefault="00A57DDA" w:rsidP="00A57DDA">
      <w:pPr>
        <w:spacing w:line="360" w:lineRule="auto"/>
        <w:jc w:val="both"/>
        <w:rPr>
          <w:rFonts w:ascii="Arial" w:hAnsi="Arial"/>
          <w:noProof w:val="0"/>
          <w:rtl/>
        </w:rPr>
      </w:pPr>
      <w:r>
        <w:rPr>
          <w:rFonts w:ascii="Arial" w:hAnsi="Arial" w:hint="cs"/>
          <w:noProof w:val="0"/>
          <w:rtl/>
        </w:rPr>
        <w:t xml:space="preserve">(ראה: ע"א 350/96 </w:t>
      </w:r>
      <w:r w:rsidRPr="00E83F9F">
        <w:rPr>
          <w:rFonts w:ascii="Arial" w:hAnsi="Arial" w:hint="cs"/>
          <w:b/>
          <w:bCs/>
          <w:noProof w:val="0"/>
          <w:rtl/>
        </w:rPr>
        <w:t>וייסר נ' שביט</w:t>
      </w:r>
      <w:r>
        <w:rPr>
          <w:rFonts w:ascii="Arial" w:hAnsi="Arial" w:hint="cs"/>
          <w:noProof w:val="0"/>
          <w:rtl/>
        </w:rPr>
        <w:t xml:space="preserve">, נב(5) 797 {פמ"מ </w:t>
      </w:r>
      <w:r>
        <w:rPr>
          <w:rFonts w:ascii="Arial" w:hAnsi="Arial"/>
          <w:noProof w:val="0"/>
          <w:rtl/>
        </w:rPr>
        <w:t>–</w:t>
      </w:r>
      <w:r>
        <w:rPr>
          <w:rFonts w:ascii="Arial" w:hAnsi="Arial" w:hint="cs"/>
          <w:noProof w:val="0"/>
          <w:rtl/>
        </w:rPr>
        <w:t xml:space="preserve"> 19.01.1999}).</w:t>
      </w:r>
    </w:p>
    <w:p w:rsidR="00A57DDA" w:rsidRPr="000E4C34" w:rsidRDefault="00A57DDA" w:rsidP="00A57DDA">
      <w:pPr>
        <w:spacing w:line="360" w:lineRule="auto"/>
        <w:jc w:val="both"/>
        <w:rPr>
          <w:rFonts w:ascii="Arial" w:hAnsi="Arial"/>
          <w:noProof w:val="0"/>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אגב </w:t>
      </w:r>
      <w:r w:rsidRPr="00E83F9F">
        <w:rPr>
          <w:rFonts w:ascii="Arial" w:hAnsi="Arial" w:hint="cs"/>
          <w:b/>
          <w:bCs/>
          <w:noProof w:val="0"/>
          <w:rtl/>
        </w:rPr>
        <w:t>"תמ"ש 11742-11-17</w:t>
      </w:r>
      <w:r>
        <w:rPr>
          <w:rFonts w:ascii="Arial" w:hAnsi="Arial" w:hint="cs"/>
          <w:noProof w:val="0"/>
          <w:rtl/>
        </w:rPr>
        <w:t xml:space="preserve">" כתבתי בין השאר כך: </w:t>
      </w:r>
    </w:p>
    <w:p w:rsidR="00A57DDA" w:rsidRDefault="00A57DDA" w:rsidP="00A57DDA">
      <w:pPr>
        <w:pStyle w:val="af1"/>
        <w:spacing w:line="360" w:lineRule="auto"/>
        <w:ind w:left="360"/>
        <w:jc w:val="both"/>
        <w:rPr>
          <w:rFonts w:ascii="Arial" w:hAnsi="Arial"/>
          <w:noProof w:val="0"/>
          <w:rtl/>
        </w:rPr>
      </w:pPr>
    </w:p>
    <w:p w:rsidR="00A57DDA" w:rsidRPr="00655A08" w:rsidRDefault="00A57DDA" w:rsidP="00A57DDA">
      <w:pPr>
        <w:pStyle w:val="af1"/>
        <w:spacing w:line="360" w:lineRule="auto"/>
        <w:ind w:left="1080"/>
        <w:jc w:val="both"/>
        <w:rPr>
          <w:rFonts w:ascii="Arial" w:hAnsi="Arial"/>
          <w:b/>
          <w:bCs/>
          <w:i/>
          <w:iCs/>
          <w:noProof w:val="0"/>
          <w:rtl/>
        </w:rPr>
      </w:pPr>
      <w:r>
        <w:rPr>
          <w:rFonts w:ascii="Arial" w:hAnsi="Arial" w:hint="cs"/>
          <w:b/>
          <w:bCs/>
          <w:i/>
          <w:iCs/>
          <w:noProof w:val="0"/>
          <w:rtl/>
        </w:rPr>
        <w:t>"</w:t>
      </w:r>
      <w:r w:rsidRPr="00655A08">
        <w:rPr>
          <w:rFonts w:ascii="Arial" w:hAnsi="Arial"/>
          <w:b/>
          <w:bCs/>
          <w:i/>
          <w:iCs/>
          <w:noProof w:val="0"/>
          <w:rtl/>
        </w:rPr>
        <w:t xml:space="preserve">אינטרס ההסתמכות של מקבל המתנה הוא ראוי להגנה, וניתן להתייחס לגילוי חיצוני של כוונת המתקשר כאל גמירת דעת, אולם בחוזה מתנה ציפיות מקבל המתנה יוכרו כלגיטימיות רק כאשר "הנסיבות והתנהגות הצדדים מצביעות בצורה ברורה וחד משמעית על כוונתו של המעניק להתקשר בחוזה" (שם) (לעניין החתימה כגורם חיצוני, שלא בהכרח מעידה על גמירות דעת החותם, ראו </w:t>
      </w:r>
      <w:r w:rsidRPr="00655A08">
        <w:rPr>
          <w:rFonts w:ascii="Arial" w:hAnsi="Arial"/>
          <w:b/>
          <w:bCs/>
          <w:i/>
          <w:iCs/>
          <w:noProof w:val="0"/>
          <w:u w:val="single"/>
          <w:rtl/>
        </w:rPr>
        <w:t>ע"א 1932/90</w:t>
      </w:r>
      <w:r w:rsidRPr="00655A08">
        <w:rPr>
          <w:rFonts w:ascii="Arial" w:hAnsi="Arial"/>
          <w:b/>
          <w:bCs/>
          <w:i/>
          <w:iCs/>
          <w:noProof w:val="0"/>
          <w:rtl/>
        </w:rPr>
        <w:t xml:space="preserve"> פרץ בוני הנגב - אחים פרץ בע"מ ני בוחבוט, פ"ד מז (1) 357, להלן "פס"ד פרץ בוני הנגב").</w:t>
      </w:r>
    </w:p>
    <w:p w:rsidR="00A57DDA" w:rsidRPr="00655A08" w:rsidRDefault="00A57DDA" w:rsidP="00A57DDA">
      <w:pPr>
        <w:pStyle w:val="af1"/>
        <w:spacing w:line="360" w:lineRule="auto"/>
        <w:ind w:left="360"/>
        <w:jc w:val="center"/>
        <w:rPr>
          <w:rFonts w:ascii="Arial" w:hAnsi="Arial"/>
          <w:b/>
          <w:bCs/>
          <w:i/>
          <w:iCs/>
          <w:noProof w:val="0"/>
          <w:rtl/>
        </w:rPr>
      </w:pPr>
      <w:r w:rsidRPr="00655A08">
        <w:rPr>
          <w:rFonts w:ascii="Arial" w:hAnsi="Arial" w:hint="cs"/>
          <w:b/>
          <w:bCs/>
          <w:i/>
          <w:iCs/>
          <w:noProof w:val="0"/>
          <w:rtl/>
        </w:rPr>
        <w:t>...</w:t>
      </w:r>
    </w:p>
    <w:p w:rsidR="00A57DDA" w:rsidRPr="00655A08" w:rsidRDefault="00A57DDA" w:rsidP="00A57DDA">
      <w:pPr>
        <w:spacing w:line="360" w:lineRule="auto"/>
        <w:ind w:left="1080"/>
        <w:jc w:val="both"/>
        <w:rPr>
          <w:rFonts w:ascii="Arial" w:hAnsi="Arial"/>
          <w:b/>
          <w:bCs/>
          <w:i/>
          <w:iCs/>
          <w:noProof w:val="0"/>
        </w:rPr>
      </w:pPr>
      <w:r w:rsidRPr="00655A08">
        <w:rPr>
          <w:rFonts w:ascii="Arial" w:hAnsi="Arial"/>
          <w:b/>
          <w:bCs/>
          <w:i/>
          <w:iCs/>
          <w:noProof w:val="0"/>
          <w:rtl/>
        </w:rPr>
        <w:t xml:space="preserve">המימד האובייקטיבי המיוחס למבחן גמירות הדעת, בא בין היתר להגן על אינטרס ההסתמכות של הצד השני. אינטרס הסתמכות זה לא התקיים אצל הנתבע, בנסיבות שתוארו. בעניין זה נכתב בספרם של פרידמן וכהן: </w:t>
      </w:r>
    </w:p>
    <w:p w:rsidR="00A57DDA" w:rsidRDefault="00A57DDA" w:rsidP="00A57DDA">
      <w:pPr>
        <w:spacing w:line="360" w:lineRule="auto"/>
        <w:ind w:left="1080" w:right="1701" w:firstLine="720"/>
        <w:jc w:val="both"/>
        <w:rPr>
          <w:rFonts w:ascii="Arial" w:hAnsi="Arial"/>
          <w:b/>
          <w:bCs/>
          <w:i/>
          <w:iCs/>
          <w:noProof w:val="0"/>
          <w:rtl/>
        </w:rPr>
      </w:pPr>
    </w:p>
    <w:p w:rsidR="00A57DDA" w:rsidRDefault="00A57DDA" w:rsidP="00A57DDA">
      <w:pPr>
        <w:spacing w:line="360" w:lineRule="auto"/>
        <w:ind w:left="1800"/>
        <w:jc w:val="both"/>
        <w:rPr>
          <w:rFonts w:ascii="Arial" w:hAnsi="Arial"/>
          <w:b/>
          <w:bCs/>
          <w:i/>
          <w:iCs/>
          <w:noProof w:val="0"/>
          <w:rtl/>
        </w:rPr>
      </w:pPr>
      <w:r w:rsidRPr="00655A08">
        <w:rPr>
          <w:rFonts w:ascii="Arial" w:hAnsi="Arial"/>
          <w:b/>
          <w:bCs/>
          <w:i/>
          <w:iCs/>
          <w:noProof w:val="0"/>
          <w:rtl/>
        </w:rPr>
        <w:lastRenderedPageBreak/>
        <w:t xml:space="preserve">"הכלל הוא כי מתקשר החותם על החוזה או מקבלו בצורה אחרת, מביע הסכמה לתניותיו, הוא יוצר מצג של הסכמה, שעליו רשאי להסתמך הצד האחר. הסטיה מהחזקה ש'חתימה שווה הסכמה' תיעשה רק במקרים, שבהם הצד האחר אשם, במידה זו או אחרת, בכך שביטויה החיצוני של ההסכמה שונה מכוונתו של המתקשר האחר, שכן במקרה זה אין הוא מסתמך על מצג ההסכמה החיצוני. </w:t>
      </w:r>
    </w:p>
    <w:p w:rsidR="00A57DDA" w:rsidRPr="00655A08" w:rsidRDefault="00A57DDA" w:rsidP="00A57DDA">
      <w:pPr>
        <w:spacing w:line="360" w:lineRule="auto"/>
        <w:ind w:left="1800"/>
        <w:jc w:val="both"/>
        <w:rPr>
          <w:rFonts w:ascii="Arial" w:hAnsi="Arial"/>
          <w:b/>
          <w:bCs/>
          <w:i/>
          <w:iCs/>
          <w:noProof w:val="0"/>
          <w:rtl/>
        </w:rPr>
      </w:pPr>
      <w:r w:rsidRPr="00655A08">
        <w:rPr>
          <w:rFonts w:ascii="Arial" w:hAnsi="Arial"/>
          <w:b/>
          <w:bCs/>
          <w:i/>
          <w:iCs/>
          <w:noProof w:val="0"/>
          <w:rtl/>
        </w:rPr>
        <w:t>במקרה זה עשויים בתי המשפט להתעלם מאשמתו של המתקשר הרשלן, שלא קרא את החוזה, ולסטות מהמבחן האובייקטיבי" (כרך א' עמ' 168-169).</w:t>
      </w:r>
    </w:p>
    <w:p w:rsidR="00A57DDA" w:rsidRPr="00655A08" w:rsidRDefault="00A57DDA" w:rsidP="00A57DDA">
      <w:pPr>
        <w:spacing w:line="360" w:lineRule="auto"/>
        <w:ind w:left="1440" w:right="851"/>
        <w:jc w:val="center"/>
        <w:rPr>
          <w:rFonts w:ascii="Arial" w:hAnsi="Arial"/>
          <w:b/>
          <w:bCs/>
          <w:i/>
          <w:iCs/>
          <w:noProof w:val="0"/>
          <w:rtl/>
        </w:rPr>
      </w:pPr>
      <w:r w:rsidRPr="00655A08">
        <w:rPr>
          <w:rFonts w:ascii="Arial" w:hAnsi="Arial"/>
          <w:b/>
          <w:bCs/>
          <w:i/>
          <w:iCs/>
          <w:noProof w:val="0"/>
          <w:rtl/>
        </w:rPr>
        <w:t>...</w:t>
      </w:r>
    </w:p>
    <w:p w:rsidR="00A57DDA" w:rsidRPr="00655A08" w:rsidRDefault="00A57DDA" w:rsidP="00A57DDA">
      <w:pPr>
        <w:spacing w:line="360" w:lineRule="auto"/>
        <w:ind w:left="1842"/>
        <w:jc w:val="both"/>
        <w:rPr>
          <w:rFonts w:ascii="Arial" w:hAnsi="Arial"/>
          <w:b/>
          <w:bCs/>
          <w:i/>
          <w:iCs/>
          <w:noProof w:val="0"/>
          <w:rtl/>
        </w:rPr>
      </w:pPr>
      <w:r w:rsidRPr="00655A08">
        <w:rPr>
          <w:rFonts w:ascii="Arial" w:hAnsi="Arial"/>
          <w:b/>
          <w:bCs/>
          <w:i/>
          <w:iCs/>
          <w:noProof w:val="0"/>
          <w:rtl/>
        </w:rPr>
        <w:t>בהסכמי מתנה, הבדיקה אם היתה גמירות דעת היא קפדנית יותר, וזאת בייחוד כשמדובר במתנה במקרקעין (ע"א 7051/93 האפוטרופוס הכללי ני גולדברג (לא פורסם)).</w:t>
      </w:r>
    </w:p>
    <w:p w:rsidR="00A57DDA" w:rsidRDefault="00A57DDA" w:rsidP="00A57DDA">
      <w:pPr>
        <w:spacing w:line="360" w:lineRule="auto"/>
        <w:ind w:left="1842"/>
        <w:jc w:val="both"/>
        <w:rPr>
          <w:rFonts w:ascii="Arial" w:hAnsi="Arial"/>
          <w:b/>
          <w:bCs/>
          <w:i/>
          <w:iCs/>
          <w:noProof w:val="0"/>
          <w:rtl/>
        </w:rPr>
      </w:pPr>
      <w:r w:rsidRPr="00655A08">
        <w:rPr>
          <w:rFonts w:ascii="Arial" w:hAnsi="Arial"/>
          <w:b/>
          <w:bCs/>
          <w:i/>
          <w:iCs/>
          <w:noProof w:val="0"/>
          <w:u w:val="single"/>
          <w:rtl/>
        </w:rPr>
        <w:t>בע"א 236/84</w:t>
      </w:r>
      <w:r w:rsidRPr="00655A08">
        <w:rPr>
          <w:rFonts w:ascii="Arial" w:hAnsi="Arial"/>
          <w:b/>
          <w:bCs/>
          <w:i/>
          <w:iCs/>
          <w:noProof w:val="0"/>
          <w:rtl/>
        </w:rPr>
        <w:t xml:space="preserve"> מנהל עזבון המנוחה הלה יפה ז"ל נ' שוורץ, פ"ד מה(5) 13 (להלן – </w:t>
      </w:r>
      <w:r w:rsidRPr="00655A08">
        <w:rPr>
          <w:rFonts w:ascii="Arial" w:hAnsi="Arial"/>
          <w:b/>
          <w:bCs/>
          <w:i/>
          <w:iCs/>
          <w:noProof w:val="0"/>
          <w:u w:val="single"/>
          <w:rtl/>
        </w:rPr>
        <w:t>"ע"א 236/84")</w:t>
      </w:r>
      <w:r w:rsidRPr="00655A08">
        <w:rPr>
          <w:rFonts w:ascii="Arial" w:hAnsi="Arial"/>
          <w:b/>
          <w:bCs/>
          <w:i/>
          <w:iCs/>
          <w:noProof w:val="0"/>
          <w:rtl/>
        </w:rPr>
        <w:t>, נכתב:</w:t>
      </w:r>
    </w:p>
    <w:p w:rsidR="00A57DDA" w:rsidRPr="00655A08" w:rsidRDefault="00A57DDA" w:rsidP="00A57DDA">
      <w:pPr>
        <w:spacing w:line="360" w:lineRule="auto"/>
        <w:ind w:left="1842"/>
        <w:jc w:val="both"/>
        <w:rPr>
          <w:rFonts w:ascii="Arial" w:hAnsi="Arial"/>
          <w:b/>
          <w:bCs/>
          <w:i/>
          <w:iCs/>
          <w:noProof w:val="0"/>
          <w:rtl/>
        </w:rPr>
      </w:pPr>
    </w:p>
    <w:p w:rsidR="00A57DDA" w:rsidRPr="00655A08" w:rsidRDefault="00A57DDA" w:rsidP="00A57DDA">
      <w:pPr>
        <w:tabs>
          <w:tab w:val="left" w:pos="2835"/>
        </w:tabs>
        <w:spacing w:line="360" w:lineRule="auto"/>
        <w:ind w:left="2835"/>
        <w:jc w:val="both"/>
        <w:rPr>
          <w:rFonts w:ascii="Arial" w:hAnsi="Arial"/>
          <w:b/>
          <w:bCs/>
          <w:i/>
          <w:iCs/>
          <w:noProof w:val="0"/>
          <w:rtl/>
        </w:rPr>
      </w:pPr>
      <w:r>
        <w:rPr>
          <w:rFonts w:ascii="Arial" w:hAnsi="Arial"/>
          <w:b/>
          <w:bCs/>
          <w:i/>
          <w:iCs/>
          <w:noProof w:val="0"/>
          <w:rtl/>
        </w:rPr>
        <w:tab/>
      </w:r>
      <w:r w:rsidRPr="00655A08">
        <w:rPr>
          <w:rFonts w:ascii="Arial" w:hAnsi="Arial"/>
          <w:b/>
          <w:bCs/>
          <w:i/>
          <w:iCs/>
          <w:noProof w:val="0"/>
          <w:rtl/>
        </w:rPr>
        <w:t xml:space="preserve">"...יש להתייחס למאפיין הרלוואנטי של הנספח, לאמור - העובדה שהוא מגלם הענקה חד צדדית של טובת הנאה. לכך יש חשיבות רבה, שכן בהענקה ממין זה, כמו בהענקה דומה בחוזה מתנה, '... יש משנה חשיבות לגמירת דעתו של נותן המתנה... יש לוודא מעל ומעבר ולכל ספק כי נותן המתנה אכן התכוון לתת מתנה וכי אין ליקוי רצון הפוגע בגמירת דעתו של הנותן' (א' ראבילו, </w:t>
      </w:r>
      <w:r w:rsidRPr="00655A08">
        <w:rPr>
          <w:rFonts w:ascii="Arial" w:hAnsi="Arial"/>
          <w:b/>
          <w:bCs/>
          <w:i/>
          <w:iCs/>
          <w:noProof w:val="0"/>
          <w:u w:val="single"/>
          <w:rtl/>
        </w:rPr>
        <w:t xml:space="preserve">"חוק המתנה, תשכ"ח – </w:t>
      </w:r>
      <w:r w:rsidRPr="00655A08">
        <w:rPr>
          <w:rFonts w:ascii="Arial" w:hAnsi="Arial"/>
          <w:b/>
          <w:bCs/>
          <w:i/>
          <w:iCs/>
          <w:noProof w:val="0"/>
          <w:rtl/>
        </w:rPr>
        <w:t>1968' פירוש לחוקי החוזים (המכון למחקרי חקיקה ולמשפט השוואתי ע"ש הרי סאקר, ג' טדסקי עורך, תשל"ט) 21)".</w:t>
      </w:r>
    </w:p>
    <w:p w:rsidR="00A57DDA" w:rsidRPr="00655A08" w:rsidRDefault="00A57DDA" w:rsidP="00A57DDA">
      <w:pPr>
        <w:spacing w:line="360" w:lineRule="auto"/>
        <w:ind w:left="720" w:hanging="720"/>
        <w:jc w:val="both"/>
        <w:rPr>
          <w:rFonts w:ascii="Arial" w:hAnsi="Arial"/>
          <w:b/>
          <w:bCs/>
          <w:i/>
          <w:iCs/>
          <w:noProof w:val="0"/>
          <w:rtl/>
        </w:rPr>
      </w:pPr>
    </w:p>
    <w:p w:rsidR="00A57DDA" w:rsidRPr="00655A08" w:rsidRDefault="00A57DDA" w:rsidP="00A57DDA">
      <w:pPr>
        <w:pStyle w:val="af1"/>
        <w:spacing w:line="360" w:lineRule="auto"/>
        <w:ind w:left="360"/>
        <w:jc w:val="both"/>
        <w:rPr>
          <w:rFonts w:ascii="Arial" w:hAnsi="Arial"/>
          <w:b/>
          <w:bCs/>
          <w:i/>
          <w:iCs/>
          <w:noProof w:val="0"/>
          <w:rtl/>
        </w:rPr>
      </w:pPr>
      <w:r w:rsidRPr="00655A08">
        <w:rPr>
          <w:rFonts w:ascii="Arial" w:hAnsi="Arial"/>
          <w:b/>
          <w:bCs/>
          <w:i/>
          <w:iCs/>
          <w:noProof w:val="0"/>
          <w:rtl/>
        </w:rPr>
        <w:tab/>
      </w:r>
      <w:r w:rsidRPr="00655A08">
        <w:rPr>
          <w:rFonts w:ascii="Arial" w:hAnsi="Arial"/>
          <w:b/>
          <w:bCs/>
          <w:i/>
          <w:iCs/>
          <w:noProof w:val="0"/>
          <w:rtl/>
        </w:rPr>
        <w:tab/>
      </w:r>
      <w:r w:rsidRPr="00655A08">
        <w:rPr>
          <w:rFonts w:ascii="Arial" w:hAnsi="Arial"/>
          <w:b/>
          <w:bCs/>
          <w:i/>
          <w:iCs/>
          <w:noProof w:val="0"/>
          <w:rtl/>
        </w:rPr>
        <w:tab/>
      </w:r>
      <w:r w:rsidRPr="00655A08">
        <w:rPr>
          <w:rFonts w:ascii="Arial" w:hAnsi="Arial"/>
          <w:b/>
          <w:bCs/>
          <w:i/>
          <w:iCs/>
          <w:noProof w:val="0"/>
          <w:rtl/>
        </w:rPr>
        <w:tab/>
        <w:t>והדברים מתקבלים על דעתי ומקובלים עליי.</w:t>
      </w:r>
    </w:p>
    <w:p w:rsidR="00A57DDA" w:rsidRPr="00655A08" w:rsidRDefault="00A57DDA" w:rsidP="00A57DDA">
      <w:pPr>
        <w:pStyle w:val="af1"/>
        <w:spacing w:line="360" w:lineRule="auto"/>
        <w:ind w:left="360"/>
        <w:jc w:val="center"/>
        <w:rPr>
          <w:rFonts w:ascii="Arial" w:hAnsi="Arial"/>
          <w:b/>
          <w:bCs/>
          <w:i/>
          <w:iCs/>
          <w:noProof w:val="0"/>
          <w:rtl/>
        </w:rPr>
      </w:pPr>
      <w:r w:rsidRPr="00655A08">
        <w:rPr>
          <w:rFonts w:ascii="Arial" w:hAnsi="Arial" w:hint="cs"/>
          <w:b/>
          <w:bCs/>
          <w:i/>
          <w:iCs/>
          <w:noProof w:val="0"/>
          <w:rtl/>
        </w:rPr>
        <w:t>...</w:t>
      </w:r>
    </w:p>
    <w:p w:rsidR="00A57DDA" w:rsidRPr="00655A08" w:rsidRDefault="00A57DDA" w:rsidP="00A57DDA">
      <w:pPr>
        <w:spacing w:line="360" w:lineRule="auto"/>
        <w:ind w:left="2880" w:hanging="720"/>
        <w:jc w:val="both"/>
        <w:rPr>
          <w:rFonts w:ascii="Arial" w:hAnsi="Arial"/>
          <w:b/>
          <w:bCs/>
          <w:i/>
          <w:iCs/>
          <w:noProof w:val="0"/>
        </w:rPr>
      </w:pPr>
      <w:r w:rsidRPr="00655A08">
        <w:rPr>
          <w:rFonts w:ascii="Arial" w:hAnsi="Arial"/>
          <w:b/>
          <w:bCs/>
          <w:i/>
          <w:iCs/>
          <w:noProof w:val="0"/>
          <w:rtl/>
        </w:rPr>
        <w:t xml:space="preserve">52. </w:t>
      </w:r>
      <w:r w:rsidRPr="00655A08">
        <w:rPr>
          <w:rFonts w:ascii="Arial" w:hAnsi="Arial"/>
          <w:b/>
          <w:bCs/>
          <w:i/>
          <w:iCs/>
          <w:noProof w:val="0"/>
          <w:rtl/>
        </w:rPr>
        <w:tab/>
        <w:t>הוכחת גמירות הדעת בהסכמי מתנה דורשת רמה גבוהה של הוכחה:</w:t>
      </w:r>
    </w:p>
    <w:p w:rsidR="00A57DDA" w:rsidRPr="00655A08" w:rsidRDefault="00A57DDA" w:rsidP="00A57DDA">
      <w:pPr>
        <w:spacing w:line="360" w:lineRule="auto"/>
        <w:ind w:left="3600" w:hanging="720"/>
        <w:jc w:val="both"/>
        <w:rPr>
          <w:rFonts w:ascii="Arial" w:hAnsi="Arial"/>
          <w:b/>
          <w:bCs/>
          <w:i/>
          <w:iCs/>
          <w:noProof w:val="0"/>
          <w:rtl/>
        </w:rPr>
      </w:pPr>
      <w:r w:rsidRPr="00655A08">
        <w:rPr>
          <w:rFonts w:ascii="Arial" w:hAnsi="Arial"/>
          <w:b/>
          <w:bCs/>
          <w:i/>
          <w:iCs/>
          <w:noProof w:val="0"/>
          <w:rtl/>
        </w:rPr>
        <w:t>52.1.</w:t>
      </w:r>
      <w:r w:rsidRPr="00655A08">
        <w:rPr>
          <w:rFonts w:ascii="Arial" w:hAnsi="Arial"/>
          <w:b/>
          <w:bCs/>
          <w:i/>
          <w:iCs/>
          <w:noProof w:val="0"/>
          <w:rtl/>
        </w:rPr>
        <w:tab/>
        <w:t>ראשית, יש לומר כי בכל הקשור להסכמי מתנה נדרשת רמה גבוהה ומוקפדת יותר של הוכחת גמירות הדעת של נותן המתנה.</w:t>
      </w:r>
    </w:p>
    <w:p w:rsidR="00A57DDA" w:rsidRPr="00655A08" w:rsidRDefault="00A57DDA" w:rsidP="00A57DDA">
      <w:pPr>
        <w:spacing w:line="360" w:lineRule="auto"/>
        <w:ind w:left="3600" w:hanging="720"/>
        <w:jc w:val="both"/>
        <w:rPr>
          <w:rFonts w:ascii="Arial" w:hAnsi="Arial"/>
          <w:b/>
          <w:bCs/>
          <w:i/>
          <w:iCs/>
          <w:noProof w:val="0"/>
          <w:rtl/>
        </w:rPr>
      </w:pPr>
      <w:r w:rsidRPr="00655A08">
        <w:rPr>
          <w:rFonts w:ascii="Arial" w:hAnsi="Arial"/>
          <w:b/>
          <w:bCs/>
          <w:i/>
          <w:iCs/>
          <w:noProof w:val="0"/>
          <w:rtl/>
        </w:rPr>
        <w:t>52.2.</w:t>
      </w:r>
      <w:r w:rsidRPr="00655A08">
        <w:rPr>
          <w:rFonts w:ascii="Arial" w:hAnsi="Arial"/>
          <w:b/>
          <w:bCs/>
          <w:i/>
          <w:iCs/>
          <w:noProof w:val="0"/>
          <w:rtl/>
        </w:rPr>
        <w:tab/>
        <w:t>על הוכחת גמירות הדעת בהסכמי מתנה אומר ביהמ"ש כדלקמן:</w:t>
      </w:r>
    </w:p>
    <w:p w:rsidR="00A57DDA" w:rsidRPr="00655A08" w:rsidRDefault="00A57DDA" w:rsidP="00A57DDA">
      <w:pPr>
        <w:spacing w:line="360" w:lineRule="auto"/>
        <w:ind w:left="3600"/>
        <w:jc w:val="both"/>
        <w:rPr>
          <w:rFonts w:ascii="Arial" w:hAnsi="Arial"/>
          <w:b/>
          <w:bCs/>
          <w:i/>
          <w:iCs/>
          <w:noProof w:val="0"/>
          <w:rtl/>
        </w:rPr>
      </w:pPr>
      <w:r w:rsidRPr="00655A08">
        <w:rPr>
          <w:rFonts w:ascii="Arial" w:hAnsi="Arial"/>
          <w:b/>
          <w:bCs/>
          <w:i/>
          <w:iCs/>
          <w:noProof w:val="0"/>
          <w:rtl/>
        </w:rPr>
        <w:lastRenderedPageBreak/>
        <w:t xml:space="preserve">"ההבחנה בין החוזה הרגיל לחוזה החד-צדדי בעניין זה היא במישור הוכחת "גמירת-הדעת". בחוזה החד-צדדי </w:t>
      </w:r>
      <w:r w:rsidRPr="00655A08">
        <w:rPr>
          <w:rFonts w:ascii="Arial" w:hAnsi="Arial"/>
          <w:b/>
          <w:bCs/>
          <w:i/>
          <w:iCs/>
          <w:noProof w:val="0"/>
          <w:u w:val="single"/>
          <w:rtl/>
        </w:rPr>
        <w:t>מתחייבת רמה גבוהה יותר של הוכחת גמירת-דעת</w:t>
      </w:r>
      <w:r w:rsidRPr="00655A08">
        <w:rPr>
          <w:rFonts w:ascii="Arial" w:hAnsi="Arial"/>
          <w:b/>
          <w:bCs/>
          <w:i/>
          <w:iCs/>
          <w:noProof w:val="0"/>
          <w:rtl/>
        </w:rPr>
        <w:t>, משום שגובר האינטרס להגן על מעניק המתנה. יפים לעניין זה דבריו של כבוד הנשיא שמגר בע"א 7051/93 האפוטרופוס הכללי נ' גולדברג [15]: "אכן, בהיות המתנה חוזה חד צדדי, ובפרט כאשר המדובר במתנה במקרקעין חייבת להיות הבדיקה לגבי גמירת דעתו של הנותן קפדנית במיוחד".</w:t>
      </w:r>
    </w:p>
    <w:p w:rsidR="00A57DDA" w:rsidRPr="00655A08" w:rsidRDefault="00A57DDA" w:rsidP="00A57DDA">
      <w:pPr>
        <w:spacing w:line="360" w:lineRule="auto"/>
        <w:ind w:left="3600" w:right="1701"/>
        <w:jc w:val="both"/>
        <w:rPr>
          <w:rFonts w:ascii="Arial" w:hAnsi="Arial"/>
          <w:b/>
          <w:bCs/>
          <w:i/>
          <w:iCs/>
          <w:noProof w:val="0"/>
          <w:rtl/>
        </w:rPr>
      </w:pPr>
    </w:p>
    <w:p w:rsidR="00A57DDA" w:rsidRPr="00655A08" w:rsidRDefault="00A57DDA" w:rsidP="00A57DDA">
      <w:pPr>
        <w:spacing w:line="360" w:lineRule="auto"/>
        <w:ind w:left="3600"/>
        <w:jc w:val="both"/>
        <w:rPr>
          <w:rFonts w:ascii="Arial" w:hAnsi="Arial"/>
          <w:b/>
          <w:bCs/>
          <w:i/>
          <w:iCs/>
          <w:noProof w:val="0"/>
          <w:rtl/>
        </w:rPr>
      </w:pPr>
      <w:r w:rsidRPr="00655A08">
        <w:rPr>
          <w:rFonts w:ascii="Arial" w:hAnsi="Arial"/>
          <w:b/>
          <w:bCs/>
          <w:i/>
          <w:iCs/>
          <w:noProof w:val="0"/>
          <w:rtl/>
        </w:rPr>
        <w:t xml:space="preserve">פני הדברים במקרה של הסכם מתנה בו לא נערך משא ומתן כלל מטילים נטל כבד על הטוען למתנה ואומר על כך הנשיא שמגר: </w:t>
      </w:r>
    </w:p>
    <w:p w:rsidR="00A57DDA" w:rsidRPr="00655A08" w:rsidRDefault="00A57DDA" w:rsidP="00A57DDA">
      <w:pPr>
        <w:spacing w:line="360" w:lineRule="auto"/>
        <w:ind w:right="1701"/>
        <w:jc w:val="both"/>
        <w:rPr>
          <w:rFonts w:ascii="Arial" w:hAnsi="Arial"/>
          <w:b/>
          <w:bCs/>
          <w:i/>
          <w:iCs/>
          <w:noProof w:val="0"/>
          <w:rtl/>
        </w:rPr>
      </w:pPr>
    </w:p>
    <w:p w:rsidR="00A57DDA" w:rsidRDefault="00A57DDA" w:rsidP="00A57DDA">
      <w:pPr>
        <w:spacing w:line="360" w:lineRule="auto"/>
        <w:ind w:left="4320"/>
        <w:jc w:val="both"/>
        <w:rPr>
          <w:rFonts w:ascii="Arial" w:hAnsi="Arial"/>
          <w:b/>
          <w:bCs/>
          <w:i/>
          <w:iCs/>
          <w:noProof w:val="0"/>
          <w:rtl/>
        </w:rPr>
      </w:pPr>
      <w:r w:rsidRPr="00655A08">
        <w:rPr>
          <w:rFonts w:ascii="Arial" w:hAnsi="Arial"/>
          <w:b/>
          <w:bCs/>
          <w:i/>
          <w:iCs/>
          <w:noProof w:val="0"/>
          <w:rtl/>
        </w:rPr>
        <w:t>"כאשר התקיים בין הצדדים משא ומתן מסחרי כמקובל, אינני רואה לחשוש לפזיזות ולקלות דעת אלא במקרים חריגים ויוצאי דופן בלבד. שונה המקרה בחוזה מתנה, אשר לא רק שנעדר אותה התמקחות, האופיינית לכל העסקות המסחריות, שיש בה כדי להעמיד את האדם הסביר על טיבה של ההתחייבות שנטל על עצמו, אלא גם טיבו ואופיו של אותו חוזה זה שונים מכל חוזה אחר, באשר יש הרואים אותו כ'חוזה חד-צדדי', שבו כלל לא נוצרות חובות הדדיות של המתקשרים".</w:t>
      </w:r>
    </w:p>
    <w:p w:rsidR="00A57DDA" w:rsidRPr="00655A08" w:rsidRDefault="00A57DDA" w:rsidP="00A57DDA">
      <w:pPr>
        <w:spacing w:line="360" w:lineRule="auto"/>
        <w:ind w:left="4320"/>
        <w:jc w:val="both"/>
        <w:rPr>
          <w:rFonts w:ascii="Arial" w:hAnsi="Arial"/>
          <w:b/>
          <w:bCs/>
          <w:i/>
          <w:iCs/>
          <w:noProof w:val="0"/>
          <w:rtl/>
        </w:rPr>
      </w:pPr>
    </w:p>
    <w:p w:rsidR="00A57DDA" w:rsidRDefault="00A57DDA" w:rsidP="00A57DDA">
      <w:pPr>
        <w:spacing w:line="360" w:lineRule="auto"/>
        <w:ind w:left="2160" w:right="851" w:firstLine="720"/>
        <w:jc w:val="both"/>
        <w:rPr>
          <w:rFonts w:ascii="Arial" w:hAnsi="Arial"/>
          <w:b/>
          <w:bCs/>
          <w:i/>
          <w:iCs/>
          <w:noProof w:val="0"/>
          <w:rtl/>
        </w:rPr>
      </w:pPr>
      <w:r w:rsidRPr="00655A08">
        <w:rPr>
          <w:rFonts w:ascii="Arial" w:hAnsi="Arial"/>
          <w:b/>
          <w:bCs/>
          <w:i/>
          <w:iCs/>
          <w:noProof w:val="0"/>
          <w:rtl/>
        </w:rPr>
        <w:t>53.</w:t>
      </w:r>
      <w:r w:rsidRPr="00655A08">
        <w:rPr>
          <w:rFonts w:ascii="Arial" w:hAnsi="Arial"/>
          <w:b/>
          <w:bCs/>
          <w:i/>
          <w:iCs/>
          <w:noProof w:val="0"/>
          <w:rtl/>
        </w:rPr>
        <w:tab/>
        <w:t>מידת הגנה נמוכה יותר קיימת למקבל המתנה:</w:t>
      </w:r>
    </w:p>
    <w:p w:rsidR="00A57DDA" w:rsidRPr="00655A08" w:rsidRDefault="00A57DDA" w:rsidP="00A57DDA">
      <w:pPr>
        <w:spacing w:line="360" w:lineRule="auto"/>
        <w:ind w:left="2160" w:right="851" w:firstLine="720"/>
        <w:jc w:val="both"/>
        <w:rPr>
          <w:rFonts w:ascii="Arial" w:hAnsi="Arial"/>
          <w:b/>
          <w:bCs/>
          <w:i/>
          <w:iCs/>
          <w:noProof w:val="0"/>
          <w:rtl/>
        </w:rPr>
      </w:pPr>
    </w:p>
    <w:p w:rsidR="00A57DDA" w:rsidRPr="00655A08" w:rsidRDefault="00A57DDA" w:rsidP="00A57DDA">
      <w:pPr>
        <w:spacing w:line="360" w:lineRule="auto"/>
        <w:ind w:left="4320" w:hanging="720"/>
        <w:jc w:val="both"/>
        <w:rPr>
          <w:rFonts w:ascii="Arial" w:hAnsi="Arial"/>
          <w:b/>
          <w:bCs/>
          <w:i/>
          <w:iCs/>
          <w:noProof w:val="0"/>
          <w:rtl/>
        </w:rPr>
      </w:pPr>
      <w:r w:rsidRPr="00655A08">
        <w:rPr>
          <w:rFonts w:ascii="Arial" w:hAnsi="Arial"/>
          <w:b/>
          <w:bCs/>
          <w:i/>
          <w:iCs/>
          <w:noProof w:val="0"/>
          <w:rtl/>
        </w:rPr>
        <w:t>53.1.</w:t>
      </w:r>
      <w:r w:rsidRPr="00655A08">
        <w:rPr>
          <w:rFonts w:ascii="Arial" w:hAnsi="Arial"/>
          <w:b/>
          <w:bCs/>
          <w:i/>
          <w:iCs/>
          <w:noProof w:val="0"/>
          <w:rtl/>
        </w:rPr>
        <w:tab/>
        <w:t>בעוד קיימת שאיפה ברורה ומובנת לתת הגנה לאינטרס ההסתמכות של המתקשר בחוזה דו- צדדי; לא כך הם פני הדברים ביחס למקבל המתנה. אומרים על כך המלומדים פרידמן כהן:</w:t>
      </w:r>
    </w:p>
    <w:p w:rsidR="00A57DDA" w:rsidRDefault="00A57DDA" w:rsidP="00A57DDA">
      <w:pPr>
        <w:spacing w:line="360" w:lineRule="auto"/>
        <w:ind w:left="2880"/>
        <w:rPr>
          <w:rFonts w:ascii="Arial" w:hAnsi="Arial"/>
          <w:b/>
          <w:bCs/>
          <w:i/>
          <w:iCs/>
          <w:noProof w:val="0"/>
          <w:rtl/>
        </w:rPr>
      </w:pPr>
    </w:p>
    <w:p w:rsidR="00A57DDA" w:rsidRPr="00655A08" w:rsidRDefault="00A57DDA" w:rsidP="00A57DDA">
      <w:pPr>
        <w:spacing w:line="360" w:lineRule="auto"/>
        <w:ind w:left="4320"/>
        <w:jc w:val="both"/>
        <w:rPr>
          <w:rFonts w:ascii="Arial" w:hAnsi="Arial"/>
          <w:b/>
          <w:bCs/>
          <w:i/>
          <w:iCs/>
          <w:noProof w:val="0"/>
          <w:rtl/>
        </w:rPr>
      </w:pPr>
      <w:r w:rsidRPr="00655A08">
        <w:rPr>
          <w:rFonts w:ascii="Arial" w:hAnsi="Arial"/>
          <w:b/>
          <w:bCs/>
          <w:i/>
          <w:iCs/>
          <w:noProof w:val="0"/>
          <w:rtl/>
        </w:rPr>
        <w:t xml:space="preserve">"ההבחנה החוזרת ונשנית בחקיקה בין עסקה בתמורה לבין עסקה שאיננה בתמורה איננה </w:t>
      </w:r>
      <w:r w:rsidRPr="00655A08">
        <w:rPr>
          <w:rFonts w:ascii="Arial" w:hAnsi="Arial"/>
          <w:b/>
          <w:bCs/>
          <w:i/>
          <w:iCs/>
          <w:noProof w:val="0"/>
          <w:rtl/>
        </w:rPr>
        <w:lastRenderedPageBreak/>
        <w:t xml:space="preserve">בכדי. הבחנה זו משרתת מטרה מועילה והיא תואמת את רגש הצדק. </w:t>
      </w:r>
      <w:r w:rsidRPr="00655A08">
        <w:rPr>
          <w:rFonts w:ascii="Arial" w:hAnsi="Arial"/>
          <w:b/>
          <w:bCs/>
          <w:i/>
          <w:iCs/>
          <w:noProof w:val="0"/>
          <w:u w:val="single"/>
          <w:rtl/>
        </w:rPr>
        <w:t>הדעת נותנת שההגנה אשר תינתן למקבל מתנה תיפול, במידה ניכרת, בעוצמתה מזו המוענקת למי שנתן תמורה</w:t>
      </w:r>
      <w:r w:rsidRPr="00655A08">
        <w:rPr>
          <w:rFonts w:ascii="Arial" w:hAnsi="Arial"/>
          <w:b/>
          <w:bCs/>
          <w:i/>
          <w:iCs/>
          <w:noProof w:val="0"/>
          <w:rtl/>
        </w:rPr>
        <w:t>. הטעם ברור. צד שלא תרם מצדו דבר לעסקה ושכל מה שניתן לו בחסד ניתן, איננו זכאי לאותה מידה של הגנה.</w:t>
      </w:r>
      <w:r w:rsidRPr="00655A08">
        <w:rPr>
          <w:rFonts w:ascii="Arial" w:hAnsi="Arial" w:hint="cs"/>
          <w:b/>
          <w:bCs/>
          <w:i/>
          <w:iCs/>
          <w:noProof w:val="0"/>
          <w:rtl/>
        </w:rPr>
        <w:t>"</w:t>
      </w:r>
    </w:p>
    <w:p w:rsidR="00A57DDA" w:rsidRPr="00504575" w:rsidRDefault="00A57DDA" w:rsidP="00A57DDA">
      <w:pPr>
        <w:spacing w:line="360" w:lineRule="auto"/>
        <w:jc w:val="both"/>
        <w:rPr>
          <w:rFonts w:ascii="Arial" w:hAnsi="Arial"/>
          <w:noProof w:val="0"/>
          <w:rtl/>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לבסוף, אפנה לסוגיית "זעקת ההגינות" (וראה: ע"א 986/93 </w:t>
      </w:r>
      <w:r w:rsidRPr="00684918">
        <w:rPr>
          <w:rFonts w:ascii="Arial" w:hAnsi="Arial" w:hint="cs"/>
          <w:b/>
          <w:bCs/>
          <w:noProof w:val="0"/>
          <w:rtl/>
        </w:rPr>
        <w:t>קלמר נ' גיא</w:t>
      </w:r>
      <w:r>
        <w:rPr>
          <w:rFonts w:ascii="Arial" w:hAnsi="Arial" w:hint="cs"/>
          <w:noProof w:val="0"/>
          <w:rtl/>
        </w:rPr>
        <w:t xml:space="preserve">, (נ)(1), 185 {פמ"מ </w:t>
      </w:r>
      <w:r>
        <w:rPr>
          <w:rFonts w:ascii="Arial" w:hAnsi="Arial"/>
          <w:noProof w:val="0"/>
          <w:rtl/>
        </w:rPr>
        <w:t>–</w:t>
      </w:r>
      <w:r>
        <w:rPr>
          <w:rFonts w:ascii="Arial" w:hAnsi="Arial" w:hint="cs"/>
          <w:noProof w:val="0"/>
          <w:rtl/>
        </w:rPr>
        <w:t xml:space="preserve"> 12.06.1996}), העוסק בשלב שבין תום לב וזעקת ההגינות. זו נובעת ומובהקת בהשקעת תמורה במקרקעין. </w:t>
      </w:r>
    </w:p>
    <w:p w:rsidR="00A57DDA" w:rsidRPr="00504575" w:rsidRDefault="00A57DDA" w:rsidP="00A57DDA">
      <w:pPr>
        <w:spacing w:line="360" w:lineRule="auto"/>
        <w:jc w:val="both"/>
        <w:rPr>
          <w:rFonts w:ascii="Arial" w:hAnsi="Arial"/>
          <w:noProof w:val="0"/>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דומני שכעת הדין הרלוונטי ברובו פרוס בפנינו ונוכל לפנות לגופו של עניין. </w:t>
      </w:r>
    </w:p>
    <w:p w:rsidR="00A57DDA" w:rsidRDefault="00A57DDA" w:rsidP="00A57DDA">
      <w:pPr>
        <w:spacing w:line="360" w:lineRule="auto"/>
        <w:rPr>
          <w:rFonts w:ascii="Arial" w:hAnsi="Arial"/>
          <w:b/>
          <w:bCs/>
          <w:noProof w:val="0"/>
          <w:u w:val="single"/>
          <w:rtl/>
        </w:rPr>
      </w:pPr>
    </w:p>
    <w:p w:rsidR="00A57DDA" w:rsidRPr="00C54FEE" w:rsidRDefault="00A57DDA" w:rsidP="00A57DDA">
      <w:pPr>
        <w:spacing w:line="360" w:lineRule="auto"/>
        <w:rPr>
          <w:rFonts w:ascii="Arial" w:hAnsi="Arial"/>
          <w:b/>
          <w:bCs/>
          <w:noProof w:val="0"/>
          <w:u w:val="single"/>
          <w:rtl/>
        </w:rPr>
      </w:pPr>
      <w:r w:rsidRPr="00C54FEE">
        <w:rPr>
          <w:rFonts w:ascii="Arial" w:hAnsi="Arial" w:hint="cs"/>
          <w:b/>
          <w:bCs/>
          <w:noProof w:val="0"/>
          <w:u w:val="single"/>
          <w:rtl/>
        </w:rPr>
        <w:t>האם מתנה</w:t>
      </w:r>
      <w:r>
        <w:rPr>
          <w:rFonts w:ascii="Arial" w:hAnsi="Arial" w:hint="cs"/>
          <w:b/>
          <w:bCs/>
          <w:noProof w:val="0"/>
          <w:u w:val="single"/>
          <w:rtl/>
        </w:rPr>
        <w:t>,</w:t>
      </w:r>
      <w:r w:rsidRPr="00C54FEE">
        <w:rPr>
          <w:rFonts w:ascii="Arial" w:hAnsi="Arial" w:hint="cs"/>
          <w:b/>
          <w:bCs/>
          <w:noProof w:val="0"/>
          <w:u w:val="single"/>
          <w:rtl/>
        </w:rPr>
        <w:t xml:space="preserve"> או התחייבות ליתן מתנה</w:t>
      </w:r>
      <w:r>
        <w:rPr>
          <w:rFonts w:ascii="Arial" w:hAnsi="Arial" w:hint="cs"/>
          <w:b/>
          <w:bCs/>
          <w:noProof w:val="0"/>
          <w:u w:val="single"/>
          <w:rtl/>
        </w:rPr>
        <w:t>?</w:t>
      </w: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וזו לשונו של חוק המתנה, התשכ"ח </w:t>
      </w:r>
      <w:r>
        <w:rPr>
          <w:rFonts w:ascii="Arial" w:hAnsi="Arial"/>
          <w:noProof w:val="0"/>
          <w:rtl/>
        </w:rPr>
        <w:t>–</w:t>
      </w:r>
      <w:r>
        <w:rPr>
          <w:rFonts w:ascii="Arial" w:hAnsi="Arial" w:hint="cs"/>
          <w:noProof w:val="0"/>
          <w:rtl/>
        </w:rPr>
        <w:t xml:space="preserve"> 1968 (להלן: "</w:t>
      </w:r>
      <w:r w:rsidRPr="00504575">
        <w:rPr>
          <w:rFonts w:ascii="Arial" w:hAnsi="Arial" w:hint="cs"/>
          <w:b/>
          <w:bCs/>
          <w:noProof w:val="0"/>
          <w:rtl/>
        </w:rPr>
        <w:t>חוק המתנה</w:t>
      </w:r>
      <w:r>
        <w:rPr>
          <w:rFonts w:ascii="Arial" w:hAnsi="Arial" w:hint="cs"/>
          <w:noProof w:val="0"/>
          <w:rtl/>
        </w:rPr>
        <w:t>"):</w:t>
      </w:r>
    </w:p>
    <w:p w:rsidR="00A57DDA" w:rsidRDefault="00A57DDA" w:rsidP="00A57DDA">
      <w:pPr>
        <w:pStyle w:val="af1"/>
        <w:spacing w:line="360" w:lineRule="auto"/>
        <w:ind w:left="360"/>
        <w:jc w:val="both"/>
        <w:rPr>
          <w:rFonts w:ascii="Arial" w:hAnsi="Arial"/>
          <w:noProof w:val="0"/>
          <w:rtl/>
        </w:rPr>
      </w:pPr>
    </w:p>
    <w:p w:rsidR="00A57DDA" w:rsidRPr="00DE1413" w:rsidRDefault="00A57DDA" w:rsidP="00A57DDA">
      <w:pPr>
        <w:pStyle w:val="af1"/>
        <w:spacing w:line="360" w:lineRule="auto"/>
        <w:ind w:left="1080" w:firstLine="360"/>
        <w:rPr>
          <w:rFonts w:ascii="Arial" w:hAnsi="Arial"/>
          <w:b/>
          <w:bCs/>
          <w:i/>
          <w:iCs/>
          <w:noProof w:val="0"/>
          <w:u w:val="single"/>
          <w:rtl/>
        </w:rPr>
      </w:pPr>
      <w:r w:rsidRPr="00DE1413">
        <w:rPr>
          <w:rFonts w:ascii="Arial" w:hAnsi="Arial" w:hint="cs"/>
          <w:b/>
          <w:bCs/>
          <w:i/>
          <w:iCs/>
          <w:noProof w:val="0"/>
          <w:u w:val="single"/>
          <w:rtl/>
        </w:rPr>
        <w:t>"</w:t>
      </w:r>
      <w:r w:rsidRPr="00DE1413">
        <w:rPr>
          <w:rFonts w:ascii="Arial" w:hAnsi="Arial"/>
          <w:b/>
          <w:bCs/>
          <w:i/>
          <w:iCs/>
          <w:noProof w:val="0"/>
          <w:u w:val="single"/>
          <w:rtl/>
        </w:rPr>
        <w:t>התחייבות לתת מתנה</w:t>
      </w:r>
    </w:p>
    <w:p w:rsidR="00A57DDA" w:rsidRPr="00DE1413" w:rsidRDefault="00A57DDA" w:rsidP="00A57DDA">
      <w:pPr>
        <w:pStyle w:val="af1"/>
        <w:spacing w:line="360" w:lineRule="auto"/>
        <w:ind w:firstLine="720"/>
        <w:rPr>
          <w:rFonts w:ascii="Arial" w:hAnsi="Arial"/>
          <w:b/>
          <w:bCs/>
          <w:i/>
          <w:iCs/>
          <w:noProof w:val="0"/>
          <w:rtl/>
        </w:rPr>
      </w:pPr>
      <w:r w:rsidRPr="00DE1413">
        <w:rPr>
          <w:rFonts w:ascii="Arial" w:hAnsi="Arial"/>
          <w:b/>
          <w:bCs/>
          <w:i/>
          <w:iCs/>
          <w:noProof w:val="0"/>
          <w:rtl/>
        </w:rPr>
        <w:t xml:space="preserve">5.    </w:t>
      </w:r>
      <w:r>
        <w:rPr>
          <w:rFonts w:ascii="Arial" w:hAnsi="Arial"/>
          <w:b/>
          <w:bCs/>
          <w:i/>
          <w:iCs/>
          <w:noProof w:val="0"/>
          <w:rtl/>
        </w:rPr>
        <w:tab/>
      </w:r>
      <w:r w:rsidRPr="00DE1413">
        <w:rPr>
          <w:rFonts w:ascii="Arial" w:hAnsi="Arial"/>
          <w:b/>
          <w:bCs/>
          <w:i/>
          <w:iCs/>
          <w:noProof w:val="0"/>
          <w:rtl/>
        </w:rPr>
        <w:t xml:space="preserve">(א) </w:t>
      </w:r>
      <w:r w:rsidRPr="00DE1413">
        <w:rPr>
          <w:rFonts w:ascii="Arial" w:hAnsi="Arial"/>
          <w:b/>
          <w:bCs/>
          <w:i/>
          <w:iCs/>
          <w:noProof w:val="0"/>
          <w:rtl/>
        </w:rPr>
        <w:tab/>
        <w:t>התחייבות לתת מתנה בעתיד טעונה מסמך בכתב.</w:t>
      </w:r>
    </w:p>
    <w:p w:rsidR="00A57DDA" w:rsidRPr="00DE1413" w:rsidRDefault="00A57DDA" w:rsidP="00A57DDA">
      <w:pPr>
        <w:pStyle w:val="af1"/>
        <w:spacing w:line="360" w:lineRule="auto"/>
        <w:ind w:left="2880" w:hanging="720"/>
        <w:rPr>
          <w:rFonts w:ascii="Arial" w:hAnsi="Arial"/>
          <w:b/>
          <w:bCs/>
          <w:i/>
          <w:iCs/>
          <w:noProof w:val="0"/>
          <w:rtl/>
        </w:rPr>
      </w:pPr>
      <w:r w:rsidRPr="00DE1413">
        <w:rPr>
          <w:rFonts w:ascii="Arial" w:hAnsi="Arial"/>
          <w:b/>
          <w:bCs/>
          <w:i/>
          <w:iCs/>
          <w:noProof w:val="0"/>
          <w:rtl/>
        </w:rPr>
        <w:t xml:space="preserve">(ב) </w:t>
      </w:r>
      <w:r w:rsidRPr="00DE1413">
        <w:rPr>
          <w:rFonts w:ascii="Arial" w:hAnsi="Arial"/>
          <w:b/>
          <w:bCs/>
          <w:i/>
          <w:iCs/>
          <w:noProof w:val="0"/>
          <w:rtl/>
        </w:rPr>
        <w:tab/>
        <w:t>כל עוד מקבל המתנה לא שינה את מצבו בהסתמך על ההתחייבות, רשאי הנותן לחזור בו ממנה, זולת אם ויתר בכתב על רשות זו.</w:t>
      </w:r>
    </w:p>
    <w:p w:rsidR="00A57DDA" w:rsidRPr="00DE1413" w:rsidRDefault="00A57DDA" w:rsidP="00A57DDA">
      <w:pPr>
        <w:pStyle w:val="af1"/>
        <w:spacing w:line="360" w:lineRule="auto"/>
        <w:ind w:left="2880" w:hanging="720"/>
        <w:rPr>
          <w:rFonts w:ascii="Arial" w:hAnsi="Arial"/>
          <w:b/>
          <w:bCs/>
          <w:i/>
          <w:iCs/>
          <w:noProof w:val="0"/>
          <w:rtl/>
        </w:rPr>
      </w:pPr>
      <w:r w:rsidRPr="00DE1413">
        <w:rPr>
          <w:rFonts w:ascii="Arial" w:hAnsi="Arial"/>
          <w:b/>
          <w:bCs/>
          <w:i/>
          <w:iCs/>
          <w:noProof w:val="0"/>
          <w:rtl/>
        </w:rPr>
        <w:t xml:space="preserve">(ג)  </w:t>
      </w:r>
      <w:r w:rsidRPr="00DE1413">
        <w:rPr>
          <w:rFonts w:ascii="Arial" w:hAnsi="Arial"/>
          <w:b/>
          <w:bCs/>
          <w:i/>
          <w:iCs/>
          <w:noProof w:val="0"/>
          <w:rtl/>
        </w:rPr>
        <w:tab/>
        <w:t>מלבד האמור בסעיף-קטן (ב), רשאי הנותן לחזור בו מהתחייבותו אם היתה החזרה מוצדקת בהתנהגות מחפירה של מקבל המתנה כלפי הנותן או כלפי בן-משפחתו או בהרעה ניכרת שחלה במצבו הכלכלי של הנותן.</w:t>
      </w:r>
    </w:p>
    <w:p w:rsidR="00A57DDA" w:rsidRPr="00DE1413" w:rsidRDefault="00A57DDA" w:rsidP="00A57DDA">
      <w:pPr>
        <w:pStyle w:val="af1"/>
        <w:spacing w:line="360" w:lineRule="auto"/>
        <w:ind w:left="360"/>
        <w:rPr>
          <w:rFonts w:ascii="Arial" w:hAnsi="Arial"/>
          <w:b/>
          <w:bCs/>
          <w:i/>
          <w:iCs/>
          <w:noProof w:val="0"/>
          <w:rtl/>
        </w:rPr>
      </w:pPr>
    </w:p>
    <w:p w:rsidR="00A57DDA" w:rsidRPr="00DE1413" w:rsidRDefault="00A57DDA" w:rsidP="00A57DDA">
      <w:pPr>
        <w:pStyle w:val="af1"/>
        <w:spacing w:line="360" w:lineRule="auto"/>
        <w:ind w:left="1080" w:firstLine="360"/>
        <w:rPr>
          <w:rFonts w:ascii="Arial" w:hAnsi="Arial"/>
          <w:b/>
          <w:bCs/>
          <w:i/>
          <w:iCs/>
          <w:noProof w:val="0"/>
          <w:u w:val="single"/>
          <w:rtl/>
        </w:rPr>
      </w:pPr>
      <w:r w:rsidRPr="00DE1413">
        <w:rPr>
          <w:rFonts w:ascii="Arial" w:hAnsi="Arial"/>
          <w:b/>
          <w:bCs/>
          <w:i/>
          <w:iCs/>
          <w:noProof w:val="0"/>
          <w:u w:val="single"/>
          <w:rtl/>
        </w:rPr>
        <w:t>דרכי ההקניה</w:t>
      </w:r>
    </w:p>
    <w:p w:rsidR="00A57DDA" w:rsidRPr="00DE1413" w:rsidRDefault="00A57DDA" w:rsidP="00A57DDA">
      <w:pPr>
        <w:pStyle w:val="af1"/>
        <w:spacing w:line="360" w:lineRule="auto"/>
        <w:ind w:left="2160" w:hanging="720"/>
        <w:jc w:val="both"/>
        <w:rPr>
          <w:rFonts w:ascii="Arial" w:hAnsi="Arial"/>
          <w:b/>
          <w:bCs/>
          <w:i/>
          <w:iCs/>
          <w:noProof w:val="0"/>
          <w:rtl/>
        </w:rPr>
      </w:pPr>
      <w:r w:rsidRPr="00DE1413">
        <w:rPr>
          <w:rFonts w:ascii="Arial" w:hAnsi="Arial"/>
          <w:b/>
          <w:bCs/>
          <w:i/>
          <w:iCs/>
          <w:noProof w:val="0"/>
          <w:rtl/>
        </w:rPr>
        <w:t>6.</w:t>
      </w:r>
      <w:r w:rsidRPr="00DE1413">
        <w:rPr>
          <w:rFonts w:ascii="Arial" w:hAnsi="Arial"/>
          <w:b/>
          <w:bCs/>
          <w:i/>
          <w:iCs/>
          <w:noProof w:val="0"/>
          <w:rtl/>
        </w:rPr>
        <w:tab/>
        <w:t>הבעלות בדבר-המתנה עוברת למקבל במסירת הדבר לידו, או במסירת מסמך לידו המזכה אותו לקבלו, ואם היה הדבר ברשות המקבל - בהודעת הנותן למקבל על המתנה; והכל כשאין בדין אחר הוראות מיוחדות לענין הנדון.</w:t>
      </w:r>
      <w:r w:rsidRPr="00DE1413">
        <w:rPr>
          <w:rFonts w:ascii="Arial" w:hAnsi="Arial" w:hint="cs"/>
          <w:b/>
          <w:bCs/>
          <w:i/>
          <w:iCs/>
          <w:noProof w:val="0"/>
          <w:rtl/>
        </w:rPr>
        <w:t>"</w:t>
      </w:r>
    </w:p>
    <w:p w:rsidR="00A57DDA" w:rsidRDefault="00A57DDA" w:rsidP="00A57DDA">
      <w:pPr>
        <w:pStyle w:val="af1"/>
        <w:spacing w:line="360" w:lineRule="auto"/>
        <w:ind w:hanging="360"/>
        <w:jc w:val="both"/>
        <w:rPr>
          <w:rFonts w:ascii="Arial" w:hAnsi="Arial"/>
          <w:noProof w:val="0"/>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lastRenderedPageBreak/>
        <w:t xml:space="preserve">אומר בשניים: ראשית, כי אין עורר שדבר המתנה בכאן גובה גם בכתב גם בהשקעות משמעותיות של הנתבע בנכס לאחר הנתינה (לאמור הסתמכות); שנית, אף שעל כולנו מקובל כי גמר רישום המתנה במרשם המקרקעין הופך את המתנה לסופית (וראה: ע"א 4593/09 </w:t>
      </w:r>
      <w:r w:rsidRPr="00C96122">
        <w:rPr>
          <w:rFonts w:ascii="Arial" w:hAnsi="Arial" w:hint="cs"/>
          <w:b/>
          <w:bCs/>
          <w:noProof w:val="0"/>
          <w:rtl/>
        </w:rPr>
        <w:t>סעיד נ' יורשי המנוח</w:t>
      </w:r>
      <w:r>
        <w:rPr>
          <w:rFonts w:ascii="Arial" w:hAnsi="Arial" w:hint="cs"/>
          <w:noProof w:val="0"/>
          <w:rtl/>
        </w:rPr>
        <w:t xml:space="preserve"> </w:t>
      </w:r>
      <w:r w:rsidRPr="00C96122">
        <w:rPr>
          <w:rFonts w:ascii="Arial" w:hAnsi="Arial" w:hint="cs"/>
          <w:b/>
          <w:bCs/>
          <w:noProof w:val="0"/>
          <w:rtl/>
        </w:rPr>
        <w:t>סעיד ז"ל</w:t>
      </w:r>
      <w:r>
        <w:rPr>
          <w:rFonts w:ascii="Arial" w:hAnsi="Arial" w:hint="cs"/>
          <w:noProof w:val="0"/>
          <w:rtl/>
        </w:rPr>
        <w:t xml:space="preserve"> {פמ"מ </w:t>
      </w:r>
      <w:r>
        <w:rPr>
          <w:rFonts w:ascii="Arial" w:hAnsi="Arial"/>
          <w:noProof w:val="0"/>
          <w:rtl/>
        </w:rPr>
        <w:t>–</w:t>
      </w:r>
      <w:r>
        <w:rPr>
          <w:rFonts w:ascii="Arial" w:hAnsi="Arial" w:hint="cs"/>
          <w:noProof w:val="0"/>
          <w:rtl/>
        </w:rPr>
        <w:t xml:space="preserve"> 15.11.2011}), אזי גם בכאן ולטעמי עם פטירת המנוחה ומתן ייפוי כוח נוצר למעשה מצב של מתנה סופית. </w:t>
      </w:r>
    </w:p>
    <w:p w:rsidR="00A57DDA" w:rsidRDefault="00A57DDA" w:rsidP="00A57DDA">
      <w:pPr>
        <w:pStyle w:val="af1"/>
        <w:spacing w:line="360" w:lineRule="auto"/>
        <w:ind w:left="360"/>
        <w:jc w:val="both"/>
        <w:rPr>
          <w:rFonts w:ascii="Arial" w:hAnsi="Arial"/>
          <w:noProof w:val="0"/>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על-פי סעיף </w:t>
      </w:r>
      <w:r w:rsidRPr="00504575">
        <w:rPr>
          <w:rFonts w:ascii="Arial" w:hAnsi="Arial" w:hint="cs"/>
          <w:b/>
          <w:bCs/>
          <w:noProof w:val="0"/>
          <w:rtl/>
        </w:rPr>
        <w:t>5(ב)</w:t>
      </w:r>
      <w:r>
        <w:rPr>
          <w:rFonts w:ascii="Arial" w:hAnsi="Arial" w:hint="cs"/>
          <w:noProof w:val="0"/>
          <w:rtl/>
        </w:rPr>
        <w:t xml:space="preserve"> לחוק המתנה, אזי בהתחייבות ליתן מתנה רשאי הנותן עצמו לחזור בו (והרי המנוחה לא חזרה בה עד ליום פטירתה) ולא חלק מיורשיו (להבדיל מטענות בדבר אי תקפות המתנה ולא טענות על חזרה ממנה). </w:t>
      </w:r>
    </w:p>
    <w:p w:rsidR="00A57DDA" w:rsidRPr="00C54FEE" w:rsidRDefault="00A57DDA" w:rsidP="00A57DDA">
      <w:pPr>
        <w:pStyle w:val="af1"/>
        <w:rPr>
          <w:rFonts w:ascii="Arial" w:hAnsi="Arial"/>
          <w:noProof w:val="0"/>
          <w:rtl/>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ואולם, למען הסר ספק אומר, כי בכאן מוכן אני לקבוע שאפילו אם מדובר רק בהתחייבות ליתן מתנה, אין אפשרות לחזור ממנה, שעה שהנתבע הסתמך עליה, השקיע מיליונים בנכס ולא נטען כלפיו כי התנהג התנהגות מחפירה כלפי המעניקה. </w:t>
      </w:r>
    </w:p>
    <w:p w:rsidR="00A57DDA" w:rsidRDefault="00A57DDA" w:rsidP="00A57DDA">
      <w:pPr>
        <w:spacing w:line="360" w:lineRule="auto"/>
        <w:rPr>
          <w:rFonts w:ascii="Arial" w:hAnsi="Arial"/>
          <w:b/>
          <w:bCs/>
          <w:noProof w:val="0"/>
          <w:u w:val="single"/>
          <w:rtl/>
        </w:rPr>
      </w:pPr>
    </w:p>
    <w:p w:rsidR="00A57DDA" w:rsidRPr="00B419CC" w:rsidRDefault="00A57DDA" w:rsidP="00A57DDA">
      <w:pPr>
        <w:spacing w:line="360" w:lineRule="auto"/>
        <w:rPr>
          <w:rFonts w:ascii="Arial" w:hAnsi="Arial"/>
          <w:b/>
          <w:bCs/>
          <w:noProof w:val="0"/>
          <w:u w:val="single"/>
          <w:rtl/>
        </w:rPr>
      </w:pPr>
      <w:r w:rsidRPr="00B419CC">
        <w:rPr>
          <w:rFonts w:ascii="Arial" w:hAnsi="Arial" w:hint="cs"/>
          <w:b/>
          <w:bCs/>
          <w:noProof w:val="0"/>
          <w:u w:val="single"/>
          <w:rtl/>
        </w:rPr>
        <w:t>מה כללה המתנה</w:t>
      </w:r>
      <w:r>
        <w:rPr>
          <w:rFonts w:ascii="Arial" w:hAnsi="Arial" w:hint="cs"/>
          <w:b/>
          <w:bCs/>
          <w:noProof w:val="0"/>
          <w:u w:val="single"/>
          <w:rtl/>
        </w:rPr>
        <w:t>?</w:t>
      </w: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היטיב להסביר בא כוח התובעים בסעיף 3 לסיכומיו, באומרו כך: </w:t>
      </w:r>
    </w:p>
    <w:p w:rsidR="00A57DDA" w:rsidRPr="004977D4" w:rsidRDefault="00A57DDA" w:rsidP="00A57DDA">
      <w:pPr>
        <w:pStyle w:val="af1"/>
        <w:spacing w:line="360" w:lineRule="auto"/>
        <w:ind w:left="360"/>
        <w:jc w:val="both"/>
        <w:rPr>
          <w:rFonts w:ascii="Arial" w:hAnsi="Arial"/>
          <w:noProof w:val="0"/>
          <w:sz w:val="14"/>
          <w:szCs w:val="14"/>
        </w:rPr>
      </w:pPr>
    </w:p>
    <w:p w:rsidR="00A57DDA" w:rsidRPr="0001130F" w:rsidRDefault="00A57DDA" w:rsidP="004D17E0">
      <w:pPr>
        <w:pStyle w:val="af1"/>
        <w:spacing w:line="360" w:lineRule="auto"/>
        <w:ind w:left="1440"/>
        <w:jc w:val="both"/>
        <w:rPr>
          <w:rFonts w:ascii="Arial" w:hAnsi="Arial"/>
          <w:b/>
          <w:bCs/>
          <w:i/>
          <w:iCs/>
          <w:noProof w:val="0"/>
          <w:rtl/>
        </w:rPr>
      </w:pPr>
      <w:r w:rsidRPr="0001130F">
        <w:rPr>
          <w:rFonts w:ascii="Arial" w:hAnsi="Arial" w:hint="cs"/>
          <w:b/>
          <w:bCs/>
          <w:i/>
          <w:iCs/>
          <w:noProof w:val="0"/>
          <w:rtl/>
        </w:rPr>
        <w:t xml:space="preserve">"במרכז הדיון עומדת השאלה האם התכוונה המנוחה לתת במתנה לנתבע 1 את הנכס נשוא כתב התביעה, בניין המורכב מחמש דירות ברחוב </w:t>
      </w:r>
      <w:r w:rsidR="004D17E0">
        <w:rPr>
          <w:rFonts w:ascii="Arial" w:hAnsi="Arial" w:hint="cs"/>
          <w:b/>
          <w:bCs/>
          <w:i/>
          <w:iCs/>
          <w:noProof w:val="0"/>
          <w:rtl/>
        </w:rPr>
        <w:t xml:space="preserve">... </w:t>
      </w:r>
      <w:r w:rsidRPr="0001130F">
        <w:rPr>
          <w:rFonts w:ascii="Arial" w:hAnsi="Arial" w:hint="cs"/>
          <w:b/>
          <w:bCs/>
          <w:i/>
          <w:iCs/>
          <w:noProof w:val="0"/>
          <w:rtl/>
        </w:rPr>
        <w:t xml:space="preserve"> והידוע כחלקה 219 גו</w:t>
      </w:r>
      <w:r w:rsidR="004D17E0">
        <w:rPr>
          <w:rFonts w:ascii="Arial" w:hAnsi="Arial" w:hint="cs"/>
          <w:b/>
          <w:bCs/>
          <w:i/>
          <w:iCs/>
          <w:noProof w:val="0"/>
          <w:rtl/>
        </w:rPr>
        <w:t>ש 6212. (להלן: "הבניין ב...</w:t>
      </w:r>
      <w:r w:rsidRPr="0001130F">
        <w:rPr>
          <w:rFonts w:ascii="Arial" w:hAnsi="Arial" w:hint="cs"/>
          <w:b/>
          <w:bCs/>
          <w:i/>
          <w:iCs/>
          <w:noProof w:val="0"/>
          <w:rtl/>
        </w:rPr>
        <w:t>"), או את ביתו של הנתבע 1 שבנה הוא על גג אותו בניין (להלן:</w:t>
      </w:r>
      <w:r w:rsidRPr="0001130F">
        <w:rPr>
          <w:rFonts w:ascii="Arial" w:hAnsi="Arial" w:hint="cs"/>
          <w:b/>
          <w:bCs/>
          <w:i/>
          <w:iCs/>
          <w:noProof w:val="0"/>
        </w:rPr>
        <w:t xml:space="preserve"> </w:t>
      </w:r>
      <w:r w:rsidRPr="0001130F">
        <w:rPr>
          <w:rFonts w:ascii="Arial" w:hAnsi="Arial" w:hint="cs"/>
          <w:b/>
          <w:bCs/>
          <w:i/>
          <w:iCs/>
          <w:noProof w:val="0"/>
          <w:rtl/>
        </w:rPr>
        <w:t xml:space="preserve">"הדירה" ו/או "בית הנתבע")." </w:t>
      </w:r>
    </w:p>
    <w:p w:rsidR="00A57DDA" w:rsidRDefault="00A57DDA" w:rsidP="00A57DDA">
      <w:pPr>
        <w:pStyle w:val="af1"/>
        <w:spacing w:line="360" w:lineRule="auto"/>
        <w:ind w:left="360"/>
        <w:jc w:val="both"/>
        <w:rPr>
          <w:rFonts w:ascii="Arial" w:hAnsi="Arial"/>
          <w:noProof w:val="0"/>
          <w:rtl/>
        </w:rPr>
      </w:pPr>
    </w:p>
    <w:p w:rsidR="00A57DDA" w:rsidRDefault="00A57DDA" w:rsidP="00A57DDA">
      <w:pPr>
        <w:pStyle w:val="af1"/>
        <w:spacing w:line="360" w:lineRule="auto"/>
        <w:ind w:left="360"/>
        <w:jc w:val="both"/>
        <w:rPr>
          <w:rFonts w:ascii="Arial" w:hAnsi="Arial"/>
          <w:noProof w:val="0"/>
          <w:rtl/>
        </w:rPr>
      </w:pPr>
      <w:r>
        <w:rPr>
          <w:rFonts w:ascii="Arial" w:hAnsi="Arial" w:hint="cs"/>
          <w:noProof w:val="0"/>
          <w:rtl/>
        </w:rPr>
        <w:t xml:space="preserve">לעניין הדירה אין חולק כי לנתבע היא (וראה סעיף 4 לסיכומי התובעים). </w:t>
      </w:r>
    </w:p>
    <w:p w:rsidR="00A57DDA" w:rsidRPr="00B419CC" w:rsidRDefault="00A57DDA" w:rsidP="00A57DDA">
      <w:pPr>
        <w:spacing w:line="360" w:lineRule="auto"/>
        <w:jc w:val="both"/>
        <w:rPr>
          <w:rFonts w:ascii="Arial" w:hAnsi="Arial"/>
          <w:noProof w:val="0"/>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לעניין תביעתם, סומכים התובעים טיעוניהם כאמור בסעיף 8 ואילך לסיכומיהם, כך: </w:t>
      </w:r>
    </w:p>
    <w:p w:rsidR="00A57DDA" w:rsidRDefault="004D17E0" w:rsidP="004D17E0">
      <w:pPr>
        <w:spacing w:line="360" w:lineRule="auto"/>
        <w:ind w:left="360"/>
        <w:jc w:val="both"/>
        <w:rPr>
          <w:rFonts w:ascii="Arial" w:hAnsi="Arial"/>
          <w:noProof w:val="0"/>
          <w:rtl/>
        </w:rPr>
      </w:pPr>
      <w:r>
        <w:rPr>
          <w:rFonts w:hint="cs"/>
          <w:rtl/>
        </w:rPr>
        <w:t>.................</w:t>
      </w:r>
    </w:p>
    <w:p w:rsidR="00A57DDA" w:rsidRPr="00504575" w:rsidRDefault="00A57DDA" w:rsidP="00A57DDA">
      <w:pPr>
        <w:spacing w:line="360" w:lineRule="auto"/>
        <w:jc w:val="both"/>
        <w:rPr>
          <w:rFonts w:ascii="Arial" w:hAnsi="Arial"/>
          <w:noProof w:val="0"/>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נזכור, כי תצהיר המתנה נחתם כ- 8 שנים לאחר עריכת הצוואה הנ"ל, וזו לשונו בין השאר: </w:t>
      </w:r>
    </w:p>
    <w:p w:rsidR="00A57DDA" w:rsidRPr="00280E76" w:rsidRDefault="00A57DDA" w:rsidP="00A57DDA">
      <w:pPr>
        <w:spacing w:line="360" w:lineRule="auto"/>
        <w:jc w:val="both"/>
        <w:rPr>
          <w:rFonts w:ascii="Arial" w:hAnsi="Arial"/>
          <w:noProof w:val="0"/>
          <w:rtl/>
        </w:rPr>
      </w:pPr>
    </w:p>
    <w:p w:rsidR="00A57DDA" w:rsidRPr="00123BE0" w:rsidRDefault="00A57DDA" w:rsidP="004D17E0">
      <w:pPr>
        <w:spacing w:line="360" w:lineRule="auto"/>
        <w:ind w:left="1440" w:hanging="360"/>
        <w:jc w:val="both"/>
        <w:rPr>
          <w:rFonts w:ascii="Arial" w:hAnsi="Arial"/>
          <w:b/>
          <w:bCs/>
          <w:i/>
          <w:iCs/>
          <w:noProof w:val="0"/>
          <w:rtl/>
        </w:rPr>
      </w:pPr>
      <w:r w:rsidRPr="00123BE0">
        <w:rPr>
          <w:rFonts w:ascii="Arial" w:hAnsi="Arial" w:hint="cs"/>
          <w:b/>
          <w:bCs/>
          <w:i/>
          <w:iCs/>
          <w:noProof w:val="0"/>
          <w:rtl/>
        </w:rPr>
        <w:t xml:space="preserve">"1. </w:t>
      </w:r>
      <w:r>
        <w:rPr>
          <w:rFonts w:ascii="Arial" w:hAnsi="Arial"/>
          <w:b/>
          <w:bCs/>
          <w:i/>
          <w:iCs/>
          <w:noProof w:val="0"/>
          <w:rtl/>
        </w:rPr>
        <w:tab/>
      </w:r>
      <w:r w:rsidRPr="00123BE0">
        <w:rPr>
          <w:rFonts w:ascii="Arial" w:hAnsi="Arial" w:hint="cs"/>
          <w:b/>
          <w:bCs/>
          <w:i/>
          <w:iCs/>
          <w:noProof w:val="0"/>
          <w:rtl/>
        </w:rPr>
        <w:t xml:space="preserve">הנני בעלת הזכויות בבית </w:t>
      </w:r>
      <w:r w:rsidR="004D17E0">
        <w:rPr>
          <w:rFonts w:ascii="Arial" w:hAnsi="Arial" w:hint="cs"/>
          <w:b/>
          <w:bCs/>
          <w:i/>
          <w:iCs/>
          <w:noProof w:val="0"/>
          <w:rtl/>
        </w:rPr>
        <w:t>ברחוב ....</w:t>
      </w:r>
      <w:r w:rsidRPr="00123BE0">
        <w:rPr>
          <w:rFonts w:ascii="Arial" w:hAnsi="Arial" w:hint="cs"/>
          <w:b/>
          <w:bCs/>
          <w:i/>
          <w:iCs/>
          <w:noProof w:val="0"/>
          <w:rtl/>
        </w:rPr>
        <w:t xml:space="preserve"> והרשום בפנקסי לשכת רישום המקרקעין בתור גוש </w:t>
      </w:r>
      <w:r w:rsidR="004D17E0">
        <w:rPr>
          <w:rFonts w:ascii="Arial" w:hAnsi="Arial" w:hint="cs"/>
          <w:b/>
          <w:bCs/>
          <w:i/>
          <w:iCs/>
          <w:noProof w:val="0"/>
          <w:rtl/>
        </w:rPr>
        <w:t>... חלקה ...</w:t>
      </w:r>
      <w:r w:rsidRPr="00123BE0">
        <w:rPr>
          <w:rFonts w:ascii="Arial" w:hAnsi="Arial" w:hint="cs"/>
          <w:b/>
          <w:bCs/>
          <w:i/>
          <w:iCs/>
          <w:noProof w:val="0"/>
          <w:rtl/>
        </w:rPr>
        <w:t xml:space="preserve"> (להלן: "הבית"). </w:t>
      </w:r>
      <w:r>
        <w:rPr>
          <w:rFonts w:ascii="Arial" w:hAnsi="Arial"/>
          <w:b/>
          <w:bCs/>
          <w:i/>
          <w:iCs/>
          <w:noProof w:val="0"/>
          <w:rtl/>
        </w:rPr>
        <w:tab/>
      </w:r>
    </w:p>
    <w:p w:rsidR="00A57DDA" w:rsidRDefault="00A57DDA" w:rsidP="004D17E0">
      <w:pPr>
        <w:spacing w:line="360" w:lineRule="auto"/>
        <w:ind w:left="1440" w:hanging="360"/>
        <w:jc w:val="both"/>
        <w:rPr>
          <w:rFonts w:ascii="Arial" w:hAnsi="Arial"/>
          <w:noProof w:val="0"/>
          <w:rtl/>
        </w:rPr>
      </w:pPr>
      <w:r w:rsidRPr="00123BE0">
        <w:rPr>
          <w:rFonts w:ascii="Arial" w:hAnsi="Arial" w:hint="cs"/>
          <w:b/>
          <w:bCs/>
          <w:i/>
          <w:iCs/>
          <w:noProof w:val="0"/>
          <w:rtl/>
        </w:rPr>
        <w:t xml:space="preserve">2. </w:t>
      </w:r>
      <w:r>
        <w:rPr>
          <w:rFonts w:ascii="Arial" w:hAnsi="Arial"/>
          <w:b/>
          <w:bCs/>
          <w:i/>
          <w:iCs/>
          <w:noProof w:val="0"/>
          <w:rtl/>
        </w:rPr>
        <w:tab/>
      </w:r>
      <w:r w:rsidRPr="00123BE0">
        <w:rPr>
          <w:rFonts w:ascii="Arial" w:hAnsi="Arial" w:hint="cs"/>
          <w:b/>
          <w:bCs/>
          <w:i/>
          <w:iCs/>
          <w:noProof w:val="0"/>
          <w:rtl/>
        </w:rPr>
        <w:t xml:space="preserve">בתאריך 16/10/11 העברתי לבני </w:t>
      </w:r>
      <w:r w:rsidR="004D17E0">
        <w:rPr>
          <w:rFonts w:ascii="Arial" w:hAnsi="Arial" w:hint="cs"/>
          <w:b/>
          <w:bCs/>
          <w:i/>
          <w:iCs/>
          <w:noProof w:val="0"/>
          <w:rtl/>
        </w:rPr>
        <w:t>...</w:t>
      </w:r>
      <w:r w:rsidRPr="00123BE0">
        <w:rPr>
          <w:rFonts w:ascii="Arial" w:hAnsi="Arial" w:hint="cs"/>
          <w:b/>
          <w:bCs/>
          <w:i/>
          <w:iCs/>
          <w:noProof w:val="0"/>
          <w:rtl/>
        </w:rPr>
        <w:t xml:space="preserve"> בעל ת.ז. מספר </w:t>
      </w:r>
      <w:r w:rsidR="004D17E0">
        <w:rPr>
          <w:rFonts w:ascii="Arial" w:hAnsi="Arial" w:hint="cs"/>
          <w:b/>
          <w:bCs/>
          <w:i/>
          <w:iCs/>
          <w:noProof w:val="0"/>
          <w:rtl/>
        </w:rPr>
        <w:t>...</w:t>
      </w:r>
      <w:r w:rsidRPr="00123BE0">
        <w:rPr>
          <w:rFonts w:ascii="Arial" w:hAnsi="Arial" w:hint="cs"/>
          <w:b/>
          <w:bCs/>
          <w:i/>
          <w:iCs/>
          <w:noProof w:val="0"/>
          <w:rtl/>
        </w:rPr>
        <w:t xml:space="preserve">, את מלוא זכויותיי בבית בהעברה ללא תמורה, מבלי שקיבלתי כל תמורה מבני בעבור הזכויות דלעיל". </w:t>
      </w:r>
    </w:p>
    <w:p w:rsidR="00A57DDA" w:rsidRPr="00B419CC" w:rsidRDefault="00A57DDA" w:rsidP="00A57DDA">
      <w:pPr>
        <w:spacing w:line="360" w:lineRule="auto"/>
        <w:ind w:left="1440" w:hanging="360"/>
        <w:jc w:val="both"/>
        <w:rPr>
          <w:rFonts w:ascii="Arial" w:hAnsi="Arial"/>
          <w:noProof w:val="0"/>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lastRenderedPageBreak/>
        <w:t xml:space="preserve">על-פי לשון התצהיר כפשוטו (והרי אין עורר שהמנוחה יכולה היתה ליתן מרכושה, מבלי להיות כבולה להוראת הצוואה), הוענק לנתבע מלוא הבניין. </w:t>
      </w:r>
    </w:p>
    <w:p w:rsidR="00A57DDA" w:rsidRDefault="00A57DDA" w:rsidP="00A57DDA">
      <w:pPr>
        <w:pStyle w:val="af1"/>
        <w:spacing w:line="360" w:lineRule="auto"/>
        <w:ind w:left="360"/>
        <w:jc w:val="both"/>
        <w:rPr>
          <w:rFonts w:ascii="Arial" w:hAnsi="Arial"/>
          <w:noProof w:val="0"/>
        </w:rPr>
      </w:pPr>
    </w:p>
    <w:p w:rsidR="00A57DDA" w:rsidRDefault="00A57DDA" w:rsidP="004D17E0">
      <w:pPr>
        <w:pStyle w:val="af1"/>
        <w:numPr>
          <w:ilvl w:val="0"/>
          <w:numId w:val="1"/>
        </w:numPr>
        <w:spacing w:line="360" w:lineRule="auto"/>
        <w:jc w:val="both"/>
        <w:rPr>
          <w:rFonts w:ascii="Arial" w:hAnsi="Arial"/>
          <w:noProof w:val="0"/>
        </w:rPr>
      </w:pPr>
      <w:r>
        <w:rPr>
          <w:rFonts w:ascii="Arial" w:hAnsi="Arial" w:hint="cs"/>
          <w:noProof w:val="0"/>
          <w:rtl/>
        </w:rPr>
        <w:t xml:space="preserve">משכך, ביקשו התובעים להבנות מניתוח העדויות והמסמכים. לשיטתם של התובעים, עורכת דין </w:t>
      </w:r>
      <w:r w:rsidR="004D17E0">
        <w:rPr>
          <w:rFonts w:ascii="Arial" w:hAnsi="Arial" w:hint="cs"/>
          <w:noProof w:val="0"/>
          <w:rtl/>
        </w:rPr>
        <w:t>...</w:t>
      </w:r>
      <w:r>
        <w:rPr>
          <w:rFonts w:ascii="Arial" w:hAnsi="Arial" w:hint="cs"/>
          <w:noProof w:val="0"/>
          <w:rtl/>
        </w:rPr>
        <w:t xml:space="preserve"> לא תרמה מאומה (וראה סעיפים 40-41 לסיכומים), שכן מדובר בעדה הסובלת מאלצהיימר, אשר לא היתה מעורבת בעסקה. </w:t>
      </w:r>
    </w:p>
    <w:p w:rsidR="00A57DDA" w:rsidRPr="0038277A" w:rsidRDefault="00A57DDA" w:rsidP="00A57DDA">
      <w:pPr>
        <w:pStyle w:val="af1"/>
        <w:rPr>
          <w:rFonts w:ascii="Arial" w:hAnsi="Arial"/>
          <w:noProof w:val="0"/>
          <w:rtl/>
        </w:rPr>
      </w:pPr>
    </w:p>
    <w:p w:rsidR="00A57DDA" w:rsidRDefault="00A57DDA" w:rsidP="004D17E0">
      <w:pPr>
        <w:pStyle w:val="af1"/>
        <w:numPr>
          <w:ilvl w:val="0"/>
          <w:numId w:val="1"/>
        </w:numPr>
        <w:spacing w:line="360" w:lineRule="auto"/>
        <w:jc w:val="both"/>
        <w:rPr>
          <w:rFonts w:ascii="Arial" w:hAnsi="Arial"/>
          <w:noProof w:val="0"/>
        </w:rPr>
      </w:pPr>
      <w:r>
        <w:rPr>
          <w:rFonts w:ascii="Arial" w:hAnsi="Arial" w:hint="cs"/>
          <w:noProof w:val="0"/>
          <w:rtl/>
        </w:rPr>
        <w:t xml:space="preserve">לשיטת התובעים, המנוחה גם לא הבינה את טיב המתנה שהיא מעניקה, זאת בשונה מחוות דעת המומחה מטעם בית המשפט מיום 16.03.2018, הפסיכיאטר, ד"ר </w:t>
      </w:r>
      <w:r w:rsidR="004D17E0">
        <w:rPr>
          <w:rFonts w:ascii="Arial" w:hAnsi="Arial" w:hint="cs"/>
          <w:noProof w:val="0"/>
          <w:rtl/>
        </w:rPr>
        <w:t>...</w:t>
      </w:r>
      <w:r>
        <w:rPr>
          <w:rFonts w:ascii="Arial" w:hAnsi="Arial" w:hint="cs"/>
          <w:noProof w:val="0"/>
          <w:rtl/>
        </w:rPr>
        <w:t>.</w:t>
      </w:r>
    </w:p>
    <w:p w:rsidR="00A57DDA" w:rsidRPr="00D074CC" w:rsidRDefault="00A57DDA" w:rsidP="00A57DDA">
      <w:pPr>
        <w:pStyle w:val="af1"/>
        <w:rPr>
          <w:rFonts w:ascii="Arial" w:hAnsi="Arial"/>
          <w:noProof w:val="0"/>
          <w:rtl/>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נזכור גם, כי לא בנקל יסטה בית המשפט מחוות דעת מומחה שהוא עצמו מינה. </w:t>
      </w:r>
    </w:p>
    <w:p w:rsidR="00A57DDA" w:rsidRDefault="00A57DDA" w:rsidP="00A57DDA">
      <w:pPr>
        <w:pStyle w:val="af1"/>
        <w:rPr>
          <w:rFonts w:ascii="Arial" w:hAnsi="Arial"/>
          <w:noProof w:val="0"/>
          <w:rtl/>
        </w:rPr>
      </w:pPr>
    </w:p>
    <w:p w:rsidR="00A57DDA" w:rsidRDefault="00A57DDA" w:rsidP="004D17E0">
      <w:pPr>
        <w:pStyle w:val="af1"/>
        <w:numPr>
          <w:ilvl w:val="0"/>
          <w:numId w:val="1"/>
        </w:numPr>
        <w:spacing w:line="360" w:lineRule="auto"/>
        <w:jc w:val="both"/>
        <w:rPr>
          <w:rFonts w:ascii="Arial" w:hAnsi="Arial"/>
          <w:noProof w:val="0"/>
        </w:rPr>
      </w:pPr>
      <w:r>
        <w:rPr>
          <w:rFonts w:ascii="Arial" w:hAnsi="Arial" w:hint="cs"/>
          <w:noProof w:val="0"/>
          <w:rtl/>
        </w:rPr>
        <w:t xml:space="preserve">וכך כתב ד"ר </w:t>
      </w:r>
      <w:r w:rsidR="004D17E0">
        <w:rPr>
          <w:rFonts w:ascii="Arial" w:hAnsi="Arial" w:hint="cs"/>
          <w:noProof w:val="0"/>
          <w:rtl/>
        </w:rPr>
        <w:t>...</w:t>
      </w:r>
      <w:r>
        <w:rPr>
          <w:rFonts w:ascii="Arial" w:hAnsi="Arial" w:hint="cs"/>
          <w:noProof w:val="0"/>
          <w:rtl/>
        </w:rPr>
        <w:t xml:space="preserve">בפרק מסקנותיו: </w:t>
      </w:r>
    </w:p>
    <w:p w:rsidR="00A57DDA" w:rsidRDefault="004D17E0" w:rsidP="004D17E0">
      <w:pPr>
        <w:ind w:left="360"/>
        <w:rPr>
          <w:rFonts w:ascii="Arial" w:hAnsi="Arial"/>
          <w:noProof w:val="0"/>
          <w:rtl/>
        </w:rPr>
      </w:pPr>
      <w:r>
        <w:rPr>
          <w:rFonts w:ascii="Arial" w:hAnsi="Arial" w:hint="cs"/>
          <w:noProof w:val="0"/>
          <w:rtl/>
        </w:rPr>
        <w:t>.................</w:t>
      </w:r>
    </w:p>
    <w:p w:rsidR="00A57DDA" w:rsidRDefault="00A57DDA" w:rsidP="00A57DDA">
      <w:pPr>
        <w:rPr>
          <w:rFonts w:ascii="Arial" w:hAnsi="Arial"/>
          <w:noProof w:val="0"/>
          <w:rtl/>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התובעים הפנו אפוא, לתשובת המומחה לשאלות ההבהרה (סעיף 37), שם כתב: </w:t>
      </w:r>
    </w:p>
    <w:p w:rsidR="00A57DDA" w:rsidRPr="00280E76" w:rsidRDefault="00A57DDA" w:rsidP="00A57DDA">
      <w:pPr>
        <w:spacing w:line="360" w:lineRule="auto"/>
        <w:ind w:left="1440"/>
        <w:jc w:val="both"/>
        <w:rPr>
          <w:rFonts w:ascii="Arial" w:hAnsi="Arial"/>
          <w:b/>
          <w:bCs/>
          <w:i/>
          <w:iCs/>
          <w:noProof w:val="0"/>
          <w:rtl/>
        </w:rPr>
      </w:pPr>
      <w:r w:rsidRPr="00280E76">
        <w:rPr>
          <w:rFonts w:ascii="Arial" w:hAnsi="Arial" w:hint="cs"/>
          <w:b/>
          <w:bCs/>
          <w:i/>
          <w:iCs/>
          <w:noProof w:val="0"/>
          <w:rtl/>
        </w:rPr>
        <w:t>"מצבה הגופני של המנוחה היה לא טוב, אך אני הצטמצמתי להערכת מצבה הקוגניטיבי. אם היתה במצב רפואי שהפך אותה תלויה בזולת, ויש חשש להשפעה לא הוגנת, קרי ס</w:t>
      </w:r>
      <w:r>
        <w:rPr>
          <w:rFonts w:ascii="Arial" w:hAnsi="Arial" w:hint="cs"/>
          <w:b/>
          <w:bCs/>
          <w:i/>
          <w:iCs/>
          <w:noProof w:val="0"/>
          <w:rtl/>
        </w:rPr>
        <w:t>וג</w:t>
      </w:r>
      <w:r w:rsidRPr="00280E76">
        <w:rPr>
          <w:rFonts w:ascii="Arial" w:hAnsi="Arial" w:hint="cs"/>
          <w:b/>
          <w:bCs/>
          <w:i/>
          <w:iCs/>
          <w:noProof w:val="0"/>
          <w:rtl/>
        </w:rPr>
        <w:t xml:space="preserve">יה זו היא להבנתי בתחום סמכותו של בית המשפט". </w:t>
      </w:r>
    </w:p>
    <w:p w:rsidR="00A57DDA" w:rsidRPr="00280E76" w:rsidRDefault="00A57DDA" w:rsidP="00A57DDA">
      <w:pPr>
        <w:spacing w:line="360" w:lineRule="auto"/>
        <w:jc w:val="both"/>
        <w:rPr>
          <w:rFonts w:ascii="Arial" w:hAnsi="Arial"/>
          <w:noProof w:val="0"/>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אלא שמכך לא תצמח ישועה לתובעים, שכן אכן שאלת ההשפעה הבלתי הוגנת היא עניין לבית המשפט וניתן לקבוע כי קוגניטיבית לא רק היתה המנוחה כשירה ליתן המתנה, אלא גם להבין מה היא נותנת </w:t>
      </w:r>
      <w:r>
        <w:rPr>
          <w:rFonts w:ascii="Arial" w:hAnsi="Arial"/>
          <w:noProof w:val="0"/>
          <w:rtl/>
        </w:rPr>
        <w:t>–</w:t>
      </w:r>
      <w:r>
        <w:rPr>
          <w:rFonts w:ascii="Arial" w:hAnsi="Arial" w:hint="cs"/>
          <w:noProof w:val="0"/>
          <w:rtl/>
        </w:rPr>
        <w:t xml:space="preserve"> לאמור, הבניין ולא רק הדירה כפי שנזכר בצוואתה, שקדמה בשנים רבות למתנה. </w:t>
      </w:r>
    </w:p>
    <w:p w:rsidR="00A57DDA" w:rsidRPr="00D074CC" w:rsidRDefault="00A57DDA" w:rsidP="00A57DDA">
      <w:pPr>
        <w:pStyle w:val="af1"/>
        <w:spacing w:line="360" w:lineRule="auto"/>
        <w:ind w:left="360"/>
        <w:jc w:val="both"/>
        <w:rPr>
          <w:rFonts w:ascii="Arial" w:hAnsi="Arial"/>
          <w:noProof w:val="0"/>
        </w:rPr>
      </w:pPr>
    </w:p>
    <w:p w:rsidR="00A57DDA" w:rsidRDefault="00A57DDA" w:rsidP="004D17E0">
      <w:pPr>
        <w:pStyle w:val="af1"/>
        <w:numPr>
          <w:ilvl w:val="0"/>
          <w:numId w:val="1"/>
        </w:numPr>
        <w:spacing w:line="360" w:lineRule="auto"/>
        <w:jc w:val="both"/>
        <w:rPr>
          <w:rFonts w:ascii="Arial" w:hAnsi="Arial"/>
          <w:noProof w:val="0"/>
        </w:rPr>
      </w:pPr>
      <w:r>
        <w:rPr>
          <w:rFonts w:ascii="Arial" w:hAnsi="Arial" w:hint="cs"/>
          <w:noProof w:val="0"/>
          <w:rtl/>
        </w:rPr>
        <w:t xml:space="preserve">לשיטת התובעים, לא ניתן ללמוד גם מעדות עורכת דין </w:t>
      </w:r>
      <w:r w:rsidR="004D17E0">
        <w:rPr>
          <w:rFonts w:ascii="Arial" w:hAnsi="Arial" w:hint="cs"/>
          <w:noProof w:val="0"/>
          <w:rtl/>
        </w:rPr>
        <w:t>...</w:t>
      </w:r>
      <w:r>
        <w:rPr>
          <w:rFonts w:ascii="Arial" w:hAnsi="Arial" w:hint="cs"/>
          <w:noProof w:val="0"/>
          <w:rtl/>
        </w:rPr>
        <w:t xml:space="preserve"> מה כללה המתנה, דירה בלבד או כל הבניין. לשיטתם, גם מעדות הנתבע לא ניתן ללמוד על היקף המתנה. </w:t>
      </w:r>
    </w:p>
    <w:p w:rsidR="00A57DDA" w:rsidRDefault="00A57DDA" w:rsidP="004D17E0">
      <w:pPr>
        <w:pStyle w:val="af1"/>
        <w:spacing w:line="360" w:lineRule="auto"/>
        <w:ind w:left="360"/>
        <w:jc w:val="both"/>
        <w:rPr>
          <w:rFonts w:ascii="Arial" w:hAnsi="Arial"/>
          <w:noProof w:val="0"/>
          <w:rtl/>
        </w:rPr>
      </w:pPr>
      <w:r>
        <w:rPr>
          <w:rFonts w:ascii="Arial" w:hAnsi="Arial" w:hint="cs"/>
          <w:noProof w:val="0"/>
          <w:rtl/>
        </w:rPr>
        <w:t xml:space="preserve">וכך כתבו התובעים בסיכומיהם, מסעיף 73 ואילך: </w:t>
      </w:r>
    </w:p>
    <w:p w:rsidR="00A57DDA" w:rsidRDefault="004D17E0" w:rsidP="004D17E0">
      <w:pPr>
        <w:pStyle w:val="af1"/>
        <w:spacing w:line="360" w:lineRule="auto"/>
        <w:ind w:left="360"/>
        <w:jc w:val="both"/>
        <w:rPr>
          <w:rFonts w:ascii="Arial" w:hAnsi="Arial"/>
          <w:noProof w:val="0"/>
          <w:rtl/>
        </w:rPr>
      </w:pPr>
      <w:r>
        <w:rPr>
          <w:rFonts w:ascii="Arial" w:hAnsi="Arial" w:hint="cs"/>
          <w:noProof w:val="0"/>
          <w:rtl/>
        </w:rPr>
        <w:t>.....................</w:t>
      </w:r>
    </w:p>
    <w:p w:rsidR="004D17E0" w:rsidRPr="00D074CC" w:rsidRDefault="004D17E0" w:rsidP="004D17E0">
      <w:pPr>
        <w:pStyle w:val="af1"/>
        <w:spacing w:line="360" w:lineRule="auto"/>
        <w:ind w:left="360"/>
        <w:jc w:val="both"/>
        <w:rPr>
          <w:rFonts w:ascii="Arial" w:hAnsi="Arial"/>
          <w:noProof w:val="0"/>
          <w:rtl/>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וכך, מסעיף 109 לסיכומיהם כתבו התובעים וסיכמו טענותיהם לעניין היקף המתנה: </w:t>
      </w:r>
    </w:p>
    <w:p w:rsidR="004D17E0" w:rsidRDefault="004D17E0" w:rsidP="004D17E0">
      <w:pPr>
        <w:pStyle w:val="af1"/>
        <w:spacing w:line="360" w:lineRule="auto"/>
        <w:ind w:left="360"/>
        <w:jc w:val="both"/>
        <w:rPr>
          <w:rFonts w:ascii="Arial" w:hAnsi="Arial"/>
          <w:noProof w:val="0"/>
        </w:rPr>
      </w:pPr>
      <w:r>
        <w:rPr>
          <w:rFonts w:ascii="Arial" w:hAnsi="Arial" w:hint="cs"/>
          <w:noProof w:val="0"/>
          <w:rtl/>
        </w:rPr>
        <w:t>...................</w:t>
      </w:r>
    </w:p>
    <w:p w:rsidR="00A57DDA" w:rsidRPr="004D17E0" w:rsidRDefault="00A57DDA" w:rsidP="004D17E0">
      <w:pPr>
        <w:spacing w:line="360" w:lineRule="auto"/>
        <w:jc w:val="both"/>
        <w:rPr>
          <w:rFonts w:ascii="Arial" w:hAnsi="Arial"/>
          <w:noProof w:val="0"/>
          <w:rtl/>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מתנה כידוע היא חוזה, וככזה, זקוק הוא להבהרה מהו ה"ממכר". </w:t>
      </w:r>
    </w:p>
    <w:p w:rsidR="00A57DDA" w:rsidRPr="008F7499" w:rsidRDefault="00A57DDA" w:rsidP="00A57DDA">
      <w:pPr>
        <w:spacing w:line="360" w:lineRule="auto"/>
        <w:jc w:val="both"/>
        <w:rPr>
          <w:rFonts w:ascii="Arial" w:hAnsi="Arial"/>
          <w:noProof w:val="0"/>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lastRenderedPageBreak/>
        <w:t xml:space="preserve">כפי שאמרתי, מסכים אני כי משוויתרה המנוחה בתצהיר המתנה על "מלוא זכויותיה" בנכס, על-פי הגוש והחלקה, אזי לעניין הפרשנות יש להעדיף את הפירוש ולפיו ניתנו כל הזכויות שהיו למנוחה בבניין כולו. </w:t>
      </w:r>
    </w:p>
    <w:p w:rsidR="00A57DDA" w:rsidRDefault="00A57DDA" w:rsidP="00A57DDA">
      <w:pPr>
        <w:pStyle w:val="af1"/>
        <w:rPr>
          <w:rFonts w:ascii="Arial" w:hAnsi="Arial"/>
          <w:noProof w:val="0"/>
          <w:rtl/>
        </w:rPr>
      </w:pPr>
    </w:p>
    <w:p w:rsidR="00A57DDA" w:rsidRPr="000532D4" w:rsidRDefault="00A57DDA" w:rsidP="00A57DDA">
      <w:pPr>
        <w:pStyle w:val="af1"/>
        <w:rPr>
          <w:rFonts w:ascii="Arial" w:hAnsi="Arial"/>
          <w:noProof w:val="0"/>
          <w:rtl/>
        </w:rPr>
      </w:pPr>
    </w:p>
    <w:p w:rsidR="00A57DDA" w:rsidRDefault="00A57DDA" w:rsidP="004D17E0">
      <w:pPr>
        <w:pStyle w:val="af1"/>
        <w:numPr>
          <w:ilvl w:val="0"/>
          <w:numId w:val="1"/>
        </w:numPr>
        <w:spacing w:line="360" w:lineRule="auto"/>
        <w:jc w:val="both"/>
        <w:rPr>
          <w:rFonts w:ascii="Arial" w:hAnsi="Arial"/>
          <w:noProof w:val="0"/>
        </w:rPr>
      </w:pPr>
      <w:r>
        <w:rPr>
          <w:rFonts w:ascii="Arial" w:hAnsi="Arial" w:hint="cs"/>
          <w:noProof w:val="0"/>
          <w:rtl/>
        </w:rPr>
        <w:t xml:space="preserve">אכן, כפי שכותב הנתבע בסיכומיו, אזי לעת בה נמסרה עדות עורכת דין </w:t>
      </w:r>
      <w:r w:rsidR="004D17E0">
        <w:rPr>
          <w:rFonts w:ascii="Arial" w:hAnsi="Arial" w:hint="cs"/>
          <w:noProof w:val="0"/>
          <w:rtl/>
        </w:rPr>
        <w:t>...</w:t>
      </w:r>
      <w:r>
        <w:rPr>
          <w:rFonts w:ascii="Arial" w:hAnsi="Arial" w:hint="cs"/>
          <w:noProof w:val="0"/>
          <w:rtl/>
        </w:rPr>
        <w:t xml:space="preserve">, לא סבלה היא מבעיה קוגניטיבית כלשהי, ועל-פי עדותה קל לקבוע דווקא כי המנוחה התכוונה לבניין כולו. </w:t>
      </w:r>
    </w:p>
    <w:p w:rsidR="00A57DDA" w:rsidRDefault="00A57DDA" w:rsidP="00A57DDA">
      <w:pPr>
        <w:pStyle w:val="af1"/>
        <w:spacing w:line="360" w:lineRule="auto"/>
        <w:ind w:left="360"/>
        <w:jc w:val="both"/>
        <w:rPr>
          <w:rFonts w:ascii="Arial" w:hAnsi="Arial"/>
          <w:noProof w:val="0"/>
          <w:rtl/>
        </w:rPr>
      </w:pPr>
      <w:r>
        <w:rPr>
          <w:rFonts w:ascii="Arial" w:hAnsi="Arial" w:hint="cs"/>
          <w:noProof w:val="0"/>
          <w:rtl/>
        </w:rPr>
        <w:t>וכך כתב הנתבע בסעיף 18 לסיכומיו, בהביאו מן הפרוטוקול:</w:t>
      </w:r>
    </w:p>
    <w:p w:rsidR="00A57DDA" w:rsidRDefault="00A57DDA" w:rsidP="00A57DDA">
      <w:pPr>
        <w:pStyle w:val="af1"/>
        <w:spacing w:line="360" w:lineRule="auto"/>
        <w:ind w:left="360"/>
        <w:jc w:val="both"/>
        <w:rPr>
          <w:rtl/>
        </w:rPr>
      </w:pPr>
      <w:r>
        <w:rPr>
          <w:rFonts w:ascii="Arial" w:hAnsi="Arial" w:hint="cs"/>
          <w:noProof w:val="0"/>
          <w:rtl/>
        </w:rPr>
        <w:t xml:space="preserve"> </w:t>
      </w:r>
      <w:r w:rsidR="004D17E0">
        <w:rPr>
          <w:rFonts w:hint="cs"/>
          <w:rtl/>
        </w:rPr>
        <w:t>...............</w:t>
      </w:r>
    </w:p>
    <w:p w:rsidR="00A57DDA" w:rsidRPr="004D17E0" w:rsidRDefault="00A57DDA" w:rsidP="00A57DDA">
      <w:pPr>
        <w:rPr>
          <w:rFonts w:ascii="Arial" w:hAnsi="Arial"/>
          <w:noProof w:val="0"/>
          <w:rtl/>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אתקדם מכאן ואעיר, כי לעניין גמירות הדעת, אזי סביר כי הוענק הבניין כולו, שאם לא כן מדוע שיפץ הנתבע את הבניין כולו ולא רק את הדירה, ובעלות נכבדה? </w:t>
      </w:r>
    </w:p>
    <w:p w:rsidR="00A57DDA" w:rsidRPr="006E6A97" w:rsidRDefault="00A57DDA" w:rsidP="00A57DDA">
      <w:pPr>
        <w:pStyle w:val="af1"/>
        <w:spacing w:line="360" w:lineRule="auto"/>
        <w:ind w:left="360"/>
        <w:jc w:val="both"/>
        <w:rPr>
          <w:rFonts w:ascii="Arial" w:hAnsi="Arial"/>
          <w:noProof w:val="0"/>
        </w:rPr>
      </w:pPr>
    </w:p>
    <w:p w:rsidR="00A57DDA" w:rsidRDefault="00A57DDA" w:rsidP="004D17E0">
      <w:pPr>
        <w:pStyle w:val="af1"/>
        <w:numPr>
          <w:ilvl w:val="0"/>
          <w:numId w:val="1"/>
        </w:numPr>
        <w:spacing w:line="360" w:lineRule="auto"/>
        <w:jc w:val="both"/>
        <w:rPr>
          <w:rFonts w:ascii="Arial" w:hAnsi="Arial"/>
          <w:noProof w:val="0"/>
        </w:rPr>
      </w:pPr>
      <w:r>
        <w:rPr>
          <w:rFonts w:ascii="Arial" w:hAnsi="Arial" w:hint="cs"/>
          <w:noProof w:val="0"/>
          <w:rtl/>
        </w:rPr>
        <w:t xml:space="preserve">אביא מעט מעדותה של עורכת דין </w:t>
      </w:r>
      <w:r w:rsidR="004D17E0">
        <w:rPr>
          <w:rFonts w:ascii="Arial" w:hAnsi="Arial" w:hint="cs"/>
          <w:noProof w:val="0"/>
          <w:rtl/>
        </w:rPr>
        <w:t>...</w:t>
      </w:r>
      <w:r>
        <w:rPr>
          <w:rFonts w:ascii="Arial" w:hAnsi="Arial" w:hint="cs"/>
          <w:noProof w:val="0"/>
          <w:rtl/>
        </w:rPr>
        <w:t xml:space="preserve">, אשר נשמעה לי קוהרנטית ואמינה: </w:t>
      </w:r>
    </w:p>
    <w:p w:rsidR="00A57DDA" w:rsidRPr="00655CFD" w:rsidRDefault="00A57DDA" w:rsidP="00A57DDA">
      <w:pPr>
        <w:pStyle w:val="af5"/>
        <w:pBdr>
          <w:right w:val="none" w:sz="0" w:space="0" w:color="auto"/>
        </w:pBdr>
        <w:tabs>
          <w:tab w:val="left" w:pos="2125"/>
        </w:tabs>
        <w:ind w:left="2125" w:hanging="709"/>
        <w:jc w:val="both"/>
        <w:rPr>
          <w:rFonts w:ascii="David" w:hAnsi="David" w:cs="David"/>
          <w:b/>
          <w:bCs/>
          <w:i/>
          <w:iCs/>
          <w:lang w:val="en-US"/>
        </w:rPr>
      </w:pPr>
      <w:r>
        <w:rPr>
          <w:rFonts w:ascii="David" w:hAnsi="David" w:cs="David" w:hint="cs"/>
          <w:b/>
          <w:bCs/>
          <w:i/>
          <w:iCs/>
          <w:rtl/>
        </w:rPr>
        <w:t>"</w:t>
      </w:r>
      <w:r w:rsidRPr="00655CFD">
        <w:rPr>
          <w:rFonts w:ascii="David" w:hAnsi="David" w:cs="David"/>
          <w:b/>
          <w:bCs/>
          <w:i/>
          <w:iCs/>
          <w:rtl/>
        </w:rPr>
        <w:t>ש.</w:t>
      </w:r>
      <w:r w:rsidRPr="00655CFD">
        <w:rPr>
          <w:rFonts w:ascii="David" w:hAnsi="David" w:cs="David"/>
          <w:b/>
          <w:bCs/>
          <w:i/>
          <w:iCs/>
          <w:rtl/>
        </w:rPr>
        <w:tab/>
      </w:r>
      <w:r>
        <w:rPr>
          <w:rFonts w:ascii="David" w:hAnsi="David" w:cs="David" w:hint="cs"/>
          <w:b/>
          <w:bCs/>
          <w:i/>
          <w:iCs/>
          <w:rtl/>
        </w:rPr>
        <w:t xml:space="preserve">... </w:t>
      </w:r>
      <w:r w:rsidRPr="00655CFD">
        <w:rPr>
          <w:rFonts w:ascii="David" w:hAnsi="David" w:cs="David"/>
          <w:b/>
          <w:bCs/>
          <w:i/>
          <w:iCs/>
          <w:rtl/>
          <w:lang w:val="en-US"/>
        </w:rPr>
        <w:t xml:space="preserve">הייתי רוצה לשאול אותך באלו סימני מצוקה, אם בכלל, את הבחנת מצדה של המנוחה. </w:t>
      </w:r>
    </w:p>
    <w:p w:rsidR="00A57DDA" w:rsidRPr="00655CFD" w:rsidRDefault="00A57DDA" w:rsidP="004D17E0">
      <w:pPr>
        <w:pStyle w:val="af5"/>
        <w:pBdr>
          <w:right w:val="none" w:sz="0" w:space="0" w:color="auto"/>
        </w:pBdr>
        <w:tabs>
          <w:tab w:val="left" w:pos="2125"/>
        </w:tabs>
        <w:ind w:left="2125" w:hanging="709"/>
        <w:jc w:val="both"/>
        <w:rPr>
          <w:rFonts w:ascii="David" w:hAnsi="David" w:cs="David"/>
          <w:b/>
          <w:bCs/>
          <w:i/>
          <w:iCs/>
          <w:rtl/>
        </w:rPr>
      </w:pPr>
      <w:r w:rsidRPr="00655CFD">
        <w:rPr>
          <w:rFonts w:ascii="David" w:hAnsi="David" w:cs="David"/>
          <w:b/>
          <w:bCs/>
          <w:i/>
          <w:iCs/>
          <w:rtl/>
        </w:rPr>
        <w:t>ת.</w:t>
      </w:r>
      <w:r w:rsidRPr="00655CFD">
        <w:rPr>
          <w:rFonts w:ascii="David" w:hAnsi="David" w:cs="David"/>
          <w:b/>
          <w:bCs/>
          <w:i/>
          <w:iCs/>
          <w:rtl/>
        </w:rPr>
        <w:tab/>
        <w:t xml:space="preserve">אני לא הרגשתי שום מצוקה. להפך, היא דיברה חופשי, סיפרה, היא באה ואמרה – באתי בשביל להעביר את הזכויות בבית, </w:t>
      </w:r>
      <w:r w:rsidR="004D17E0">
        <w:rPr>
          <w:rFonts w:ascii="David" w:hAnsi="David" w:cs="David" w:hint="cs"/>
          <w:b/>
          <w:bCs/>
          <w:i/>
          <w:iCs/>
          <w:rtl/>
        </w:rPr>
        <w:t>ב...</w:t>
      </w:r>
      <w:r w:rsidR="004D17E0">
        <w:rPr>
          <w:rFonts w:ascii="David" w:hAnsi="David" w:cs="David"/>
          <w:b/>
          <w:bCs/>
          <w:i/>
          <w:iCs/>
          <w:rtl/>
        </w:rPr>
        <w:t>, על שם הבן שלי</w:t>
      </w:r>
      <w:r w:rsidR="004D17E0">
        <w:rPr>
          <w:rFonts w:ascii="David" w:hAnsi="David" w:cs="David" w:hint="cs"/>
          <w:b/>
          <w:bCs/>
          <w:i/>
          <w:iCs/>
          <w:rtl/>
        </w:rPr>
        <w:t xml:space="preserve"> ....</w:t>
      </w:r>
      <w:r w:rsidRPr="00655CFD">
        <w:rPr>
          <w:rFonts w:ascii="David" w:hAnsi="David" w:cs="David"/>
          <w:b/>
          <w:bCs/>
          <w:i/>
          <w:iCs/>
          <w:rtl/>
        </w:rPr>
        <w:t xml:space="preserve">. </w:t>
      </w:r>
    </w:p>
    <w:p w:rsidR="00A57DDA" w:rsidRPr="00655CFD" w:rsidRDefault="00A57DDA" w:rsidP="00A57DDA">
      <w:pPr>
        <w:pStyle w:val="af5"/>
        <w:pBdr>
          <w:right w:val="none" w:sz="0" w:space="0" w:color="auto"/>
        </w:pBdr>
        <w:tabs>
          <w:tab w:val="left" w:pos="2125"/>
        </w:tabs>
        <w:ind w:left="2125" w:hanging="709"/>
        <w:jc w:val="both"/>
        <w:rPr>
          <w:rFonts w:ascii="David" w:hAnsi="David" w:cs="David"/>
          <w:b/>
          <w:bCs/>
          <w:i/>
          <w:iCs/>
          <w:rtl/>
        </w:rPr>
      </w:pPr>
      <w:r w:rsidRPr="00655CFD">
        <w:rPr>
          <w:rFonts w:ascii="David" w:hAnsi="David" w:cs="David"/>
          <w:b/>
          <w:bCs/>
          <w:i/>
          <w:iCs/>
          <w:rtl/>
        </w:rPr>
        <w:t>ש.</w:t>
      </w:r>
      <w:r w:rsidRPr="00655CFD">
        <w:rPr>
          <w:rFonts w:ascii="David" w:hAnsi="David" w:cs="David"/>
          <w:b/>
          <w:bCs/>
          <w:i/>
          <w:iCs/>
          <w:rtl/>
        </w:rPr>
        <w:tab/>
        <w:t>מה היתה מידת הניידות, הסיעודיות, של המנוחה, בזמן שהיתה אצלך?</w:t>
      </w:r>
    </w:p>
    <w:p w:rsidR="00A57DDA" w:rsidRPr="00655CFD" w:rsidRDefault="00A57DDA" w:rsidP="00A57DDA">
      <w:pPr>
        <w:pStyle w:val="af5"/>
        <w:pBdr>
          <w:right w:val="none" w:sz="0" w:space="0" w:color="auto"/>
        </w:pBdr>
        <w:tabs>
          <w:tab w:val="left" w:pos="2125"/>
        </w:tabs>
        <w:ind w:left="2125" w:hanging="709"/>
        <w:jc w:val="both"/>
        <w:rPr>
          <w:rFonts w:ascii="David" w:hAnsi="David" w:cs="David"/>
          <w:b/>
          <w:bCs/>
          <w:i/>
          <w:iCs/>
          <w:rtl/>
        </w:rPr>
      </w:pPr>
      <w:r w:rsidRPr="00655CFD">
        <w:rPr>
          <w:rFonts w:ascii="David" w:hAnsi="David" w:cs="David"/>
          <w:b/>
          <w:bCs/>
          <w:i/>
          <w:iCs/>
          <w:rtl/>
        </w:rPr>
        <w:t>ת.</w:t>
      </w:r>
      <w:r w:rsidRPr="00655CFD">
        <w:rPr>
          <w:rFonts w:ascii="David" w:hAnsi="David" w:cs="David"/>
          <w:b/>
          <w:bCs/>
          <w:i/>
          <w:iCs/>
          <w:rtl/>
        </w:rPr>
        <w:tab/>
        <w:t>היתה די חופשית. מה שאלת חוץ מהניידות?</w:t>
      </w:r>
    </w:p>
    <w:p w:rsidR="00A57DDA" w:rsidRPr="00655CFD" w:rsidRDefault="00A57DDA" w:rsidP="00A57DDA">
      <w:pPr>
        <w:pStyle w:val="af5"/>
        <w:pBdr>
          <w:right w:val="none" w:sz="0" w:space="0" w:color="auto"/>
        </w:pBdr>
        <w:tabs>
          <w:tab w:val="left" w:pos="2125"/>
        </w:tabs>
        <w:ind w:left="2125" w:hanging="709"/>
        <w:jc w:val="both"/>
        <w:rPr>
          <w:rFonts w:ascii="David" w:hAnsi="David" w:cs="David"/>
          <w:b/>
          <w:bCs/>
          <w:i/>
          <w:iCs/>
          <w:rtl/>
        </w:rPr>
      </w:pPr>
      <w:r w:rsidRPr="00655CFD">
        <w:rPr>
          <w:rFonts w:ascii="David" w:hAnsi="David" w:cs="David"/>
          <w:b/>
          <w:bCs/>
          <w:i/>
          <w:iCs/>
          <w:rtl/>
        </w:rPr>
        <w:t>ש.</w:t>
      </w:r>
      <w:r w:rsidRPr="00655CFD">
        <w:rPr>
          <w:rFonts w:ascii="David" w:hAnsi="David" w:cs="David"/>
          <w:b/>
          <w:bCs/>
          <w:i/>
          <w:iCs/>
          <w:rtl/>
        </w:rPr>
        <w:tab/>
        <w:t xml:space="preserve">סיעודיות. </w:t>
      </w:r>
    </w:p>
    <w:p w:rsidR="00A57DDA" w:rsidRPr="00655CFD" w:rsidRDefault="00A57DDA" w:rsidP="00A57DDA">
      <w:pPr>
        <w:pStyle w:val="af5"/>
        <w:pBdr>
          <w:right w:val="none" w:sz="0" w:space="0" w:color="auto"/>
        </w:pBdr>
        <w:tabs>
          <w:tab w:val="left" w:pos="2125"/>
        </w:tabs>
        <w:ind w:left="2125" w:hanging="709"/>
        <w:jc w:val="both"/>
        <w:rPr>
          <w:rFonts w:ascii="David" w:hAnsi="David" w:cs="David"/>
          <w:b/>
          <w:bCs/>
          <w:i/>
          <w:iCs/>
          <w:rtl/>
        </w:rPr>
      </w:pPr>
      <w:r w:rsidRPr="00655CFD">
        <w:rPr>
          <w:rFonts w:ascii="David" w:hAnsi="David" w:cs="David"/>
          <w:b/>
          <w:bCs/>
          <w:i/>
          <w:iCs/>
          <w:rtl/>
        </w:rPr>
        <w:t>ת.</w:t>
      </w:r>
      <w:r w:rsidRPr="00655CFD">
        <w:rPr>
          <w:rFonts w:ascii="David" w:hAnsi="David" w:cs="David"/>
          <w:b/>
          <w:bCs/>
          <w:i/>
          <w:iCs/>
          <w:rtl/>
        </w:rPr>
        <w:tab/>
        <w:t xml:space="preserve">היא לא היתה, אף אחד לא עזר לה, אף אחד לא החזיק אותה, היא נכנסה חופשי לחדרי, ישבה, דיברנו, ואז היא יצאה לבדה. </w:t>
      </w:r>
    </w:p>
    <w:p w:rsidR="00A57DDA" w:rsidRPr="00655CFD" w:rsidRDefault="00A57DDA" w:rsidP="00A57DDA">
      <w:pPr>
        <w:pStyle w:val="af5"/>
        <w:pBdr>
          <w:right w:val="none" w:sz="0" w:space="0" w:color="auto"/>
        </w:pBdr>
        <w:tabs>
          <w:tab w:val="left" w:pos="2125"/>
        </w:tabs>
        <w:ind w:left="2125" w:hanging="709"/>
        <w:jc w:val="both"/>
        <w:rPr>
          <w:rFonts w:ascii="David" w:hAnsi="David" w:cs="David"/>
          <w:b/>
          <w:bCs/>
          <w:i/>
          <w:iCs/>
          <w:rtl/>
        </w:rPr>
      </w:pPr>
      <w:r w:rsidRPr="00655CFD">
        <w:rPr>
          <w:rFonts w:ascii="David" w:hAnsi="David" w:cs="David"/>
          <w:b/>
          <w:bCs/>
          <w:i/>
          <w:iCs/>
          <w:rtl/>
        </w:rPr>
        <w:t>ש.</w:t>
      </w:r>
      <w:r w:rsidRPr="00655CFD">
        <w:rPr>
          <w:rFonts w:ascii="David" w:hAnsi="David" w:cs="David"/>
          <w:b/>
          <w:bCs/>
          <w:i/>
          <w:iCs/>
          <w:rtl/>
        </w:rPr>
        <w:tab/>
        <w:t>מה את יכולה לומר על יכולות ההבעה והתקשורת שלה?</w:t>
      </w:r>
    </w:p>
    <w:p w:rsidR="00A57DDA" w:rsidRPr="00655CFD" w:rsidRDefault="00A57DDA" w:rsidP="00A57DDA">
      <w:pPr>
        <w:pStyle w:val="af5"/>
        <w:pBdr>
          <w:right w:val="none" w:sz="0" w:space="0" w:color="auto"/>
        </w:pBdr>
        <w:tabs>
          <w:tab w:val="left" w:pos="2125"/>
        </w:tabs>
        <w:ind w:left="2125" w:hanging="709"/>
        <w:jc w:val="both"/>
        <w:rPr>
          <w:rFonts w:ascii="David" w:hAnsi="David" w:cs="David"/>
          <w:b/>
          <w:bCs/>
          <w:i/>
          <w:iCs/>
          <w:rtl/>
        </w:rPr>
      </w:pPr>
      <w:r w:rsidRPr="00655CFD">
        <w:rPr>
          <w:rFonts w:ascii="David" w:hAnsi="David" w:cs="David"/>
          <w:b/>
          <w:bCs/>
          <w:i/>
          <w:iCs/>
          <w:rtl/>
        </w:rPr>
        <w:t>ת.</w:t>
      </w:r>
      <w:r w:rsidRPr="00655CFD">
        <w:rPr>
          <w:rFonts w:ascii="David" w:hAnsi="David" w:cs="David"/>
          <w:b/>
          <w:bCs/>
          <w:i/>
          <w:iCs/>
          <w:rtl/>
        </w:rPr>
        <w:tab/>
        <w:t xml:space="preserve">כמו כל אדם בריא בשכלו ובנפשו. ממש כמו, בסה"כ זה היה לבוא לחתום על תצהיר, כשהיא הביעה את רצונה, </w:t>
      </w:r>
      <w:r w:rsidRPr="00655CFD">
        <w:rPr>
          <w:rFonts w:ascii="David" w:hAnsi="David" w:cs="David"/>
          <w:b/>
          <w:bCs/>
          <w:i/>
          <w:iCs/>
          <w:rtl/>
        </w:rPr>
        <w:lastRenderedPageBreak/>
        <w:t xml:space="preserve">והיא היתה בסדר גמור. </w:t>
      </w:r>
    </w:p>
    <w:p w:rsidR="00A57DDA" w:rsidRPr="00655CFD" w:rsidRDefault="00A57DDA" w:rsidP="00A57DDA">
      <w:pPr>
        <w:pStyle w:val="af5"/>
        <w:pBdr>
          <w:right w:val="none" w:sz="0" w:space="0" w:color="auto"/>
        </w:pBdr>
        <w:tabs>
          <w:tab w:val="left" w:pos="2125"/>
        </w:tabs>
        <w:ind w:left="2125" w:hanging="709"/>
        <w:jc w:val="both"/>
        <w:rPr>
          <w:rFonts w:ascii="David" w:hAnsi="David" w:cs="David"/>
          <w:b/>
          <w:bCs/>
          <w:i/>
          <w:iCs/>
          <w:rtl/>
        </w:rPr>
      </w:pPr>
      <w:r w:rsidRPr="00655CFD">
        <w:rPr>
          <w:rFonts w:ascii="David" w:hAnsi="David" w:cs="David"/>
          <w:b/>
          <w:bCs/>
          <w:i/>
          <w:iCs/>
          <w:rtl/>
        </w:rPr>
        <w:t>ש.</w:t>
      </w:r>
      <w:r w:rsidRPr="00655CFD">
        <w:rPr>
          <w:rFonts w:ascii="David" w:hAnsi="David" w:cs="David"/>
          <w:b/>
          <w:bCs/>
          <w:i/>
          <w:iCs/>
          <w:rtl/>
        </w:rPr>
        <w:tab/>
        <w:t>אני בכל זאת אשאל עוד או שאלה או שתיים בכיוון הזה. לגבי הצלילות שלה, מה התרשמת לגבי הצלילות שלה בזמן שהיא היתה אצלך?</w:t>
      </w:r>
    </w:p>
    <w:p w:rsidR="00A57DDA" w:rsidRPr="00655CFD" w:rsidRDefault="00A57DDA" w:rsidP="00A57DDA">
      <w:pPr>
        <w:pStyle w:val="af5"/>
        <w:pBdr>
          <w:right w:val="none" w:sz="0" w:space="0" w:color="auto"/>
        </w:pBdr>
        <w:tabs>
          <w:tab w:val="left" w:pos="2125"/>
        </w:tabs>
        <w:ind w:left="2125" w:hanging="709"/>
        <w:jc w:val="both"/>
        <w:rPr>
          <w:rFonts w:ascii="David" w:hAnsi="David" w:cs="David"/>
          <w:b/>
          <w:bCs/>
          <w:i/>
          <w:iCs/>
          <w:rtl/>
        </w:rPr>
      </w:pPr>
      <w:r w:rsidRPr="00655CFD">
        <w:rPr>
          <w:rFonts w:ascii="David" w:hAnsi="David" w:cs="David"/>
          <w:b/>
          <w:bCs/>
          <w:i/>
          <w:iCs/>
          <w:rtl/>
        </w:rPr>
        <w:t>ת.</w:t>
      </w:r>
      <w:r w:rsidRPr="00655CFD">
        <w:rPr>
          <w:rFonts w:ascii="David" w:hAnsi="David" w:cs="David"/>
          <w:b/>
          <w:bCs/>
          <w:i/>
          <w:iCs/>
          <w:rtl/>
        </w:rPr>
        <w:tab/>
        <w:t xml:space="preserve">התרשמתי שהיא צלולה והיא יודעת בדיוק מה היא רוצה, כי אילו היה לי אפילו סימן שאלה, לא הייתי מחתימה על התצהיר. </w:t>
      </w:r>
    </w:p>
    <w:p w:rsidR="00A57DDA" w:rsidRPr="00655CFD" w:rsidRDefault="00A57DDA" w:rsidP="00A57DDA">
      <w:pPr>
        <w:pStyle w:val="af5"/>
        <w:pBdr>
          <w:right w:val="none" w:sz="0" w:space="0" w:color="auto"/>
        </w:pBdr>
        <w:tabs>
          <w:tab w:val="left" w:pos="2125"/>
        </w:tabs>
        <w:ind w:left="2125" w:hanging="709"/>
        <w:jc w:val="both"/>
        <w:rPr>
          <w:rFonts w:ascii="David" w:hAnsi="David" w:cs="David"/>
          <w:b/>
          <w:bCs/>
          <w:i/>
          <w:iCs/>
          <w:rtl/>
        </w:rPr>
      </w:pPr>
      <w:r w:rsidRPr="00655CFD">
        <w:rPr>
          <w:rFonts w:ascii="David" w:hAnsi="David" w:cs="David"/>
          <w:b/>
          <w:bCs/>
          <w:i/>
          <w:iCs/>
          <w:rtl/>
        </w:rPr>
        <w:t>ש.</w:t>
      </w:r>
      <w:r w:rsidRPr="00655CFD">
        <w:rPr>
          <w:rFonts w:ascii="David" w:hAnsi="David" w:cs="David"/>
          <w:b/>
          <w:bCs/>
          <w:i/>
          <w:iCs/>
          <w:rtl/>
        </w:rPr>
        <w:tab/>
        <w:t xml:space="preserve">אני אעבור לנושא הבא. יש טענה נוספת, שתצהירי המתנה נחתמו רק למראית עין, זאת אומרת שהיתה כוונה אחרת מזאת שמשתקפת מתצהירי המתנה. זו המשמעות של הטענה של הסכם למראית עין או חתימה למראית עין. הייתי רוצה לדעת מה הגרסה שלך לגבי הטענה הזו. </w:t>
      </w:r>
    </w:p>
    <w:p w:rsidR="00A57DDA" w:rsidRPr="00655CFD" w:rsidRDefault="00A57DDA" w:rsidP="00A57DDA">
      <w:pPr>
        <w:pStyle w:val="af5"/>
        <w:pBdr>
          <w:right w:val="none" w:sz="0" w:space="0" w:color="auto"/>
        </w:pBdr>
        <w:tabs>
          <w:tab w:val="left" w:pos="2125"/>
        </w:tabs>
        <w:ind w:left="2125" w:hanging="709"/>
        <w:jc w:val="both"/>
        <w:rPr>
          <w:rFonts w:ascii="David" w:hAnsi="David" w:cs="David"/>
          <w:b/>
          <w:bCs/>
          <w:i/>
          <w:iCs/>
          <w:rtl/>
        </w:rPr>
      </w:pPr>
      <w:r w:rsidRPr="00655CFD">
        <w:rPr>
          <w:rFonts w:ascii="David" w:hAnsi="David" w:cs="David"/>
          <w:b/>
          <w:bCs/>
          <w:i/>
          <w:iCs/>
          <w:rtl/>
        </w:rPr>
        <w:t>ת.</w:t>
      </w:r>
      <w:r w:rsidRPr="00655CFD">
        <w:rPr>
          <w:rFonts w:ascii="David" w:hAnsi="David" w:cs="David"/>
          <w:b/>
          <w:bCs/>
          <w:i/>
          <w:iCs/>
          <w:rtl/>
        </w:rPr>
        <w:tab/>
        <w:t xml:space="preserve">אני לא יודעת על שום דבר נוסף. אני כן יודעת שהיא באה ואנחנו, שאלתי אותה מה היא רוצה והיא אמרה לי בדיוק מה היא רוצה. ואז אמרתי לה – בואי נקרא יחד את התצהיר שהכנתי. והיא כל כך שמחה שלא השמטתי משהו, וזה היה רצונה. ולא עלה עניין של כוונות אחרות. אם היו סימני שאלה לגבי, אם הייתי מרגישה שיש פה איזה הסכם מאחור, שאתה אומר לי עכשיו, אז לא הייתי מחתימה אותם. </w:t>
      </w:r>
    </w:p>
    <w:p w:rsidR="00A57DDA" w:rsidRPr="00655CFD" w:rsidRDefault="00A57DDA" w:rsidP="00A57DDA">
      <w:pPr>
        <w:pStyle w:val="af5"/>
        <w:pBdr>
          <w:right w:val="none" w:sz="0" w:space="0" w:color="auto"/>
        </w:pBdr>
        <w:tabs>
          <w:tab w:val="left" w:pos="2125"/>
        </w:tabs>
        <w:ind w:left="2125" w:hanging="709"/>
        <w:jc w:val="both"/>
        <w:rPr>
          <w:rFonts w:ascii="David" w:hAnsi="David" w:cs="David"/>
          <w:b/>
          <w:bCs/>
          <w:i/>
          <w:iCs/>
          <w:rtl/>
        </w:rPr>
      </w:pPr>
      <w:r w:rsidRPr="00655CFD">
        <w:rPr>
          <w:rFonts w:ascii="David" w:hAnsi="David" w:cs="David"/>
          <w:b/>
          <w:bCs/>
          <w:i/>
          <w:iCs/>
          <w:rtl/>
        </w:rPr>
        <w:t>ש.</w:t>
      </w:r>
      <w:r w:rsidRPr="00655CFD">
        <w:rPr>
          <w:rFonts w:ascii="David" w:hAnsi="David" w:cs="David"/>
          <w:b/>
          <w:bCs/>
          <w:i/>
          <w:iCs/>
          <w:rtl/>
        </w:rPr>
        <w:tab/>
        <w:t>האם במסגרת החתימה על תצהירי המתנה ע</w:t>
      </w:r>
      <w:r w:rsidR="004D17E0">
        <w:rPr>
          <w:rFonts w:ascii="David" w:hAnsi="David" w:cs="David"/>
          <w:b/>
          <w:bCs/>
          <w:i/>
          <w:iCs/>
          <w:rtl/>
        </w:rPr>
        <w:t>לה איזה סכסוך שיש עם הבן של</w:t>
      </w:r>
      <w:r w:rsidR="004D17E0">
        <w:rPr>
          <w:rFonts w:ascii="David" w:hAnsi="David" w:cs="David" w:hint="cs"/>
          <w:b/>
          <w:bCs/>
          <w:i/>
          <w:iCs/>
          <w:rtl/>
        </w:rPr>
        <w:t>...</w:t>
      </w:r>
      <w:r w:rsidR="004D17E0">
        <w:rPr>
          <w:rFonts w:ascii="David" w:hAnsi="David" w:cs="David"/>
          <w:b/>
          <w:bCs/>
          <w:i/>
          <w:iCs/>
          <w:rtl/>
        </w:rPr>
        <w:t xml:space="preserve"> או</w:t>
      </w:r>
      <w:r w:rsidR="004D17E0">
        <w:rPr>
          <w:rFonts w:ascii="David" w:hAnsi="David" w:cs="David" w:hint="cs"/>
          <w:b/>
          <w:bCs/>
          <w:i/>
          <w:iCs/>
          <w:rtl/>
        </w:rPr>
        <w:t>...</w:t>
      </w:r>
      <w:r w:rsidRPr="00655CFD">
        <w:rPr>
          <w:rFonts w:ascii="David" w:hAnsi="David" w:cs="David"/>
          <w:b/>
          <w:bCs/>
          <w:i/>
          <w:iCs/>
          <w:rtl/>
        </w:rPr>
        <w:t xml:space="preserve"> או סכסוך משפחתי אחר כלשהו, או שלא עלה כזה נושא?</w:t>
      </w:r>
    </w:p>
    <w:p w:rsidR="00A57DDA" w:rsidRPr="00655CFD" w:rsidRDefault="00A57DDA" w:rsidP="00A57DDA">
      <w:pPr>
        <w:pStyle w:val="af5"/>
        <w:pBdr>
          <w:right w:val="none" w:sz="0" w:space="0" w:color="auto"/>
        </w:pBdr>
        <w:tabs>
          <w:tab w:val="left" w:pos="2125"/>
        </w:tabs>
        <w:ind w:left="2125" w:hanging="709"/>
        <w:jc w:val="both"/>
        <w:rPr>
          <w:rFonts w:ascii="David" w:hAnsi="David" w:cs="David"/>
          <w:b/>
          <w:bCs/>
          <w:i/>
          <w:iCs/>
          <w:rtl/>
        </w:rPr>
      </w:pPr>
      <w:r w:rsidRPr="00655CFD">
        <w:rPr>
          <w:rFonts w:ascii="David" w:hAnsi="David" w:cs="David"/>
          <w:b/>
          <w:bCs/>
          <w:i/>
          <w:iCs/>
          <w:rtl/>
        </w:rPr>
        <w:t>ת.</w:t>
      </w:r>
      <w:r w:rsidRPr="00655CFD">
        <w:rPr>
          <w:rFonts w:ascii="David" w:hAnsi="David" w:cs="David"/>
          <w:b/>
          <w:bCs/>
          <w:i/>
          <w:iCs/>
          <w:rtl/>
        </w:rPr>
        <w:tab/>
        <w:t xml:space="preserve">לא עלה דבר כזה. </w:t>
      </w:r>
    </w:p>
    <w:p w:rsidR="00A57DDA" w:rsidRPr="00655CFD" w:rsidRDefault="00A57DDA" w:rsidP="00A57DDA">
      <w:pPr>
        <w:pStyle w:val="af5"/>
        <w:pBdr>
          <w:right w:val="none" w:sz="0" w:space="0" w:color="auto"/>
        </w:pBdr>
        <w:tabs>
          <w:tab w:val="left" w:pos="2125"/>
        </w:tabs>
        <w:ind w:left="2125" w:hanging="709"/>
        <w:jc w:val="both"/>
        <w:rPr>
          <w:rFonts w:ascii="David" w:hAnsi="David" w:cs="David"/>
          <w:b/>
          <w:bCs/>
          <w:i/>
          <w:iCs/>
          <w:rtl/>
        </w:rPr>
      </w:pPr>
      <w:r w:rsidRPr="00655CFD">
        <w:rPr>
          <w:rFonts w:ascii="David" w:hAnsi="David" w:cs="David"/>
          <w:b/>
          <w:bCs/>
          <w:i/>
          <w:iCs/>
          <w:rtl/>
        </w:rPr>
        <w:t>ש.</w:t>
      </w:r>
      <w:r w:rsidRPr="00655CFD">
        <w:rPr>
          <w:rFonts w:ascii="David" w:hAnsi="David" w:cs="David"/>
          <w:b/>
          <w:bCs/>
          <w:i/>
          <w:iCs/>
          <w:rtl/>
        </w:rPr>
        <w:tab/>
        <w:t xml:space="preserve">טענה נוספת שנטענת זה שהמנוחה הוטעתה, טעתה, </w:t>
      </w:r>
      <w:r w:rsidRPr="00655CFD">
        <w:rPr>
          <w:rFonts w:ascii="David" w:hAnsi="David" w:cs="David"/>
          <w:b/>
          <w:bCs/>
          <w:i/>
          <w:iCs/>
          <w:rtl/>
        </w:rPr>
        <w:lastRenderedPageBreak/>
        <w:t>הוטעתה לחשוב שאולי</w:t>
      </w:r>
      <w:r w:rsidR="004D17E0">
        <w:rPr>
          <w:rFonts w:ascii="David" w:hAnsi="David" w:cs="David"/>
          <w:b/>
          <w:bCs/>
          <w:i/>
          <w:iCs/>
          <w:rtl/>
        </w:rPr>
        <w:t xml:space="preserve"> היא מעבירה רק חלק מן הבית ל</w:t>
      </w:r>
      <w:r w:rsidR="004D17E0">
        <w:rPr>
          <w:rFonts w:ascii="David" w:hAnsi="David" w:cs="David" w:hint="cs"/>
          <w:b/>
          <w:bCs/>
          <w:i/>
          <w:iCs/>
          <w:rtl/>
        </w:rPr>
        <w:t>...</w:t>
      </w:r>
      <w:r w:rsidRPr="00655CFD">
        <w:rPr>
          <w:rFonts w:ascii="David" w:hAnsi="David" w:cs="David"/>
          <w:b/>
          <w:bCs/>
          <w:i/>
          <w:iCs/>
          <w:rtl/>
        </w:rPr>
        <w:t xml:space="preserve"> במתנה, כאשר חלק אחר של הנכס נשאר בבעלותה. זו הטענה. </w:t>
      </w:r>
    </w:p>
    <w:p w:rsidR="00A57DDA" w:rsidRPr="00655CFD" w:rsidRDefault="00A57DDA" w:rsidP="00A57DDA">
      <w:pPr>
        <w:pStyle w:val="af5"/>
        <w:pBdr>
          <w:right w:val="none" w:sz="0" w:space="0" w:color="auto"/>
        </w:pBdr>
        <w:tabs>
          <w:tab w:val="left" w:pos="2125"/>
        </w:tabs>
        <w:ind w:left="2125" w:hanging="709"/>
        <w:jc w:val="both"/>
        <w:rPr>
          <w:rFonts w:ascii="David" w:hAnsi="David" w:cs="David"/>
          <w:b/>
          <w:bCs/>
          <w:i/>
          <w:iCs/>
          <w:rtl/>
        </w:rPr>
      </w:pPr>
      <w:r w:rsidRPr="00655CFD">
        <w:rPr>
          <w:rFonts w:ascii="David" w:hAnsi="David" w:cs="David"/>
          <w:b/>
          <w:bCs/>
          <w:i/>
          <w:iCs/>
          <w:rtl/>
        </w:rPr>
        <w:t>ת.</w:t>
      </w:r>
      <w:r w:rsidRPr="00655CFD">
        <w:rPr>
          <w:rFonts w:ascii="David" w:hAnsi="David" w:cs="David"/>
          <w:b/>
          <w:bCs/>
          <w:i/>
          <w:iCs/>
          <w:rtl/>
        </w:rPr>
        <w:tab/>
        <w:t>שככה חשבה?</w:t>
      </w:r>
    </w:p>
    <w:p w:rsidR="00A57DDA" w:rsidRPr="00655CFD" w:rsidRDefault="00A57DDA" w:rsidP="00A57DDA">
      <w:pPr>
        <w:pStyle w:val="af5"/>
        <w:pBdr>
          <w:right w:val="none" w:sz="0" w:space="0" w:color="auto"/>
        </w:pBdr>
        <w:tabs>
          <w:tab w:val="left" w:pos="2125"/>
        </w:tabs>
        <w:ind w:left="2125" w:hanging="709"/>
        <w:jc w:val="both"/>
        <w:rPr>
          <w:rFonts w:ascii="David" w:hAnsi="David" w:cs="David"/>
          <w:b/>
          <w:bCs/>
          <w:i/>
          <w:iCs/>
          <w:rtl/>
        </w:rPr>
      </w:pPr>
      <w:r w:rsidRPr="00655CFD">
        <w:rPr>
          <w:rFonts w:ascii="David" w:hAnsi="David" w:cs="David"/>
          <w:b/>
          <w:bCs/>
          <w:i/>
          <w:iCs/>
          <w:rtl/>
        </w:rPr>
        <w:t>ש.</w:t>
      </w:r>
      <w:r w:rsidRPr="00655CFD">
        <w:rPr>
          <w:rFonts w:ascii="David" w:hAnsi="David" w:cs="David"/>
          <w:b/>
          <w:bCs/>
          <w:i/>
          <w:iCs/>
          <w:rtl/>
        </w:rPr>
        <w:tab/>
        <w:t>שכ</w:t>
      </w:r>
      <w:r w:rsidR="004D17E0">
        <w:rPr>
          <w:rFonts w:ascii="David" w:hAnsi="David" w:cs="David"/>
          <w:b/>
          <w:bCs/>
          <w:i/>
          <w:iCs/>
          <w:rtl/>
        </w:rPr>
        <w:t>כה היא חשבה, שרק חלק מועבר ל</w:t>
      </w:r>
      <w:r w:rsidR="004D17E0">
        <w:rPr>
          <w:rFonts w:ascii="David" w:hAnsi="David" w:cs="David" w:hint="cs"/>
          <w:b/>
          <w:bCs/>
          <w:i/>
          <w:iCs/>
          <w:rtl/>
        </w:rPr>
        <w:t>...</w:t>
      </w:r>
      <w:r w:rsidRPr="00655CFD">
        <w:rPr>
          <w:rFonts w:ascii="David" w:hAnsi="David" w:cs="David"/>
          <w:b/>
          <w:bCs/>
          <w:i/>
          <w:iCs/>
          <w:rtl/>
        </w:rPr>
        <w:t xml:space="preserve"> וחלק אחר נשאר בבעלותה. כי הטענה אומרת שהביטוי "בניין" ו"בית" הם ביטויים מקשים בהקשר הזה, שאם היה ננקט "בניין" אז זה עניין אחר אבל בגלל שננקט "בית", אז אולי אפשר להבין אחרת. השאלה הראשונה שלי היא מי ניסח את תצהירי המתנה. </w:t>
      </w:r>
    </w:p>
    <w:p w:rsidR="00A57DDA" w:rsidRPr="00655CFD" w:rsidRDefault="00A57DDA" w:rsidP="00A57DDA">
      <w:pPr>
        <w:pStyle w:val="af5"/>
        <w:pBdr>
          <w:right w:val="none" w:sz="0" w:space="0" w:color="auto"/>
        </w:pBdr>
        <w:tabs>
          <w:tab w:val="left" w:pos="2125"/>
        </w:tabs>
        <w:ind w:left="2125" w:hanging="709"/>
        <w:jc w:val="both"/>
        <w:rPr>
          <w:rFonts w:ascii="David" w:hAnsi="David" w:cs="David"/>
          <w:b/>
          <w:bCs/>
          <w:i/>
          <w:iCs/>
          <w:rtl/>
        </w:rPr>
      </w:pPr>
      <w:r w:rsidRPr="00655CFD">
        <w:rPr>
          <w:rFonts w:ascii="David" w:hAnsi="David" w:cs="David"/>
          <w:b/>
          <w:bCs/>
          <w:i/>
          <w:iCs/>
          <w:rtl/>
        </w:rPr>
        <w:t>ת.</w:t>
      </w:r>
      <w:r w:rsidRPr="00655CFD">
        <w:rPr>
          <w:rFonts w:ascii="David" w:hAnsi="David" w:cs="David"/>
          <w:b/>
          <w:bCs/>
          <w:i/>
          <w:iCs/>
          <w:rtl/>
        </w:rPr>
        <w:tab/>
        <w:t xml:space="preserve">אני ניסחתי את התצהירים וגם הגדרתי מה זה "בית" בתוך התצהיר. </w:t>
      </w:r>
    </w:p>
    <w:p w:rsidR="00A57DDA" w:rsidRPr="00655CFD" w:rsidRDefault="00A57DDA" w:rsidP="00A57DDA">
      <w:pPr>
        <w:pStyle w:val="af5"/>
        <w:pBdr>
          <w:right w:val="none" w:sz="0" w:space="0" w:color="auto"/>
        </w:pBdr>
        <w:tabs>
          <w:tab w:val="left" w:pos="2125"/>
        </w:tabs>
        <w:ind w:left="2125" w:hanging="709"/>
        <w:jc w:val="both"/>
        <w:rPr>
          <w:rFonts w:ascii="David" w:hAnsi="David" w:cs="David"/>
          <w:b/>
          <w:bCs/>
          <w:i/>
          <w:iCs/>
          <w:rtl/>
        </w:rPr>
      </w:pPr>
      <w:r w:rsidRPr="00655CFD">
        <w:rPr>
          <w:rFonts w:ascii="David" w:hAnsi="David" w:cs="David"/>
          <w:b/>
          <w:bCs/>
          <w:i/>
          <w:iCs/>
          <w:rtl/>
        </w:rPr>
        <w:t>ש.</w:t>
      </w:r>
      <w:r w:rsidRPr="00655CFD">
        <w:rPr>
          <w:rFonts w:ascii="David" w:hAnsi="David" w:cs="David"/>
          <w:b/>
          <w:bCs/>
          <w:i/>
          <w:iCs/>
          <w:rtl/>
        </w:rPr>
        <w:tab/>
        <w:t xml:space="preserve">נכון, עוד רגע אני אשאל אותך לגבי </w:t>
      </w:r>
      <w:r w:rsidR="004D17E0">
        <w:rPr>
          <w:rFonts w:ascii="David" w:hAnsi="David" w:cs="David"/>
          <w:b/>
          <w:bCs/>
          <w:i/>
          <w:iCs/>
          <w:rtl/>
        </w:rPr>
        <w:t xml:space="preserve">זה. מה היתה המעורבות של </w:t>
      </w:r>
      <w:r w:rsidR="004D17E0">
        <w:rPr>
          <w:rFonts w:ascii="David" w:hAnsi="David" w:cs="David" w:hint="cs"/>
          <w:b/>
          <w:bCs/>
          <w:i/>
          <w:iCs/>
          <w:rtl/>
        </w:rPr>
        <w:t>...</w:t>
      </w:r>
      <w:r w:rsidRPr="00655CFD">
        <w:rPr>
          <w:rFonts w:ascii="David" w:hAnsi="David" w:cs="David"/>
          <w:b/>
          <w:bCs/>
          <w:i/>
          <w:iCs/>
          <w:rtl/>
        </w:rPr>
        <w:t xml:space="preserve"> בניסוח התצהירים?</w:t>
      </w:r>
    </w:p>
    <w:p w:rsidR="00A57DDA" w:rsidRPr="00655CFD" w:rsidRDefault="00A57DDA" w:rsidP="00A57DDA">
      <w:pPr>
        <w:pStyle w:val="af5"/>
        <w:pBdr>
          <w:right w:val="none" w:sz="0" w:space="0" w:color="auto"/>
        </w:pBdr>
        <w:tabs>
          <w:tab w:val="left" w:pos="2125"/>
        </w:tabs>
        <w:ind w:left="2125" w:hanging="709"/>
        <w:jc w:val="both"/>
        <w:rPr>
          <w:rFonts w:ascii="David" w:hAnsi="David" w:cs="David"/>
          <w:b/>
          <w:bCs/>
          <w:i/>
          <w:iCs/>
          <w:rtl/>
        </w:rPr>
      </w:pPr>
      <w:r w:rsidRPr="00655CFD">
        <w:rPr>
          <w:rFonts w:ascii="David" w:hAnsi="David" w:cs="David"/>
          <w:b/>
          <w:bCs/>
          <w:i/>
          <w:iCs/>
          <w:rtl/>
        </w:rPr>
        <w:t>ת.</w:t>
      </w:r>
      <w:r w:rsidRPr="00655CFD">
        <w:rPr>
          <w:rFonts w:ascii="David" w:hAnsi="David" w:cs="David"/>
          <w:b/>
          <w:bCs/>
          <w:i/>
          <w:iCs/>
          <w:rtl/>
        </w:rPr>
        <w:tab/>
        <w:t xml:space="preserve">לא היתה לו שום התערבות. אני ניסחתי את זה והאמת שאלה תצהירים מקובלים. תמיד משתמשים באותו דבר, העיקר שידעו מיהו נותן המתנה, שזה היה רצונו, שזה היה הנכס שלו. ולא היה שם משהו מיוחד שהוא אחר מאשר עושים למתנה מ-א' ל-ב'. </w:t>
      </w:r>
    </w:p>
    <w:p w:rsidR="00A57DDA" w:rsidRPr="00655CFD" w:rsidRDefault="00A57DDA" w:rsidP="00A57DDA">
      <w:pPr>
        <w:pStyle w:val="af5"/>
        <w:pBdr>
          <w:right w:val="none" w:sz="0" w:space="0" w:color="auto"/>
        </w:pBdr>
        <w:tabs>
          <w:tab w:val="left" w:pos="2125"/>
        </w:tabs>
        <w:ind w:left="2125" w:hanging="709"/>
        <w:jc w:val="both"/>
        <w:rPr>
          <w:rFonts w:ascii="David" w:hAnsi="David" w:cs="David"/>
          <w:b/>
          <w:bCs/>
          <w:i/>
          <w:iCs/>
          <w:rtl/>
        </w:rPr>
      </w:pPr>
      <w:r w:rsidRPr="00655CFD">
        <w:rPr>
          <w:rFonts w:ascii="David" w:hAnsi="David" w:cs="David"/>
          <w:b/>
          <w:bCs/>
          <w:i/>
          <w:iCs/>
          <w:rtl/>
        </w:rPr>
        <w:t>ש.</w:t>
      </w:r>
      <w:r w:rsidRPr="00655CFD">
        <w:rPr>
          <w:rFonts w:ascii="David" w:hAnsi="David" w:cs="David"/>
          <w:b/>
          <w:bCs/>
          <w:i/>
          <w:iCs/>
          <w:rtl/>
        </w:rPr>
        <w:tab/>
        <w:t>כלומר האם עלה בפגישה ובאיזה הקשר על</w:t>
      </w:r>
      <w:r w:rsidR="004D17E0">
        <w:rPr>
          <w:rFonts w:ascii="David" w:hAnsi="David" w:cs="David"/>
          <w:b/>
          <w:bCs/>
          <w:i/>
          <w:iCs/>
          <w:rtl/>
        </w:rPr>
        <w:t>ה בפגישה, כמה דירות עוברות ל</w:t>
      </w:r>
      <w:r w:rsidR="004D17E0">
        <w:rPr>
          <w:rFonts w:ascii="David" w:hAnsi="David" w:cs="David" w:hint="cs"/>
          <w:b/>
          <w:bCs/>
          <w:i/>
          <w:iCs/>
          <w:rtl/>
        </w:rPr>
        <w:t>...</w:t>
      </w:r>
      <w:r w:rsidRPr="00655CFD">
        <w:rPr>
          <w:rFonts w:ascii="David" w:hAnsi="David" w:cs="David"/>
          <w:b/>
          <w:bCs/>
          <w:i/>
          <w:iCs/>
          <w:rtl/>
        </w:rPr>
        <w:t xml:space="preserve"> וכמה דירות נשארות בבעלות המנוחה? מה היה באמת הנכס שהועבר?</w:t>
      </w:r>
    </w:p>
    <w:p w:rsidR="00A57DDA" w:rsidRPr="00655CFD" w:rsidRDefault="00A57DDA" w:rsidP="004D17E0">
      <w:pPr>
        <w:pStyle w:val="af5"/>
        <w:pBdr>
          <w:right w:val="none" w:sz="0" w:space="0" w:color="auto"/>
        </w:pBdr>
        <w:tabs>
          <w:tab w:val="left" w:pos="2125"/>
        </w:tabs>
        <w:ind w:left="2125" w:hanging="709"/>
        <w:jc w:val="both"/>
        <w:rPr>
          <w:rFonts w:ascii="David" w:hAnsi="David" w:cs="David"/>
          <w:b/>
          <w:bCs/>
          <w:i/>
          <w:iCs/>
          <w:rtl/>
        </w:rPr>
      </w:pPr>
      <w:r w:rsidRPr="00655CFD">
        <w:rPr>
          <w:rFonts w:ascii="David" w:hAnsi="David" w:cs="David"/>
          <w:b/>
          <w:bCs/>
          <w:i/>
          <w:iCs/>
          <w:rtl/>
        </w:rPr>
        <w:t>ת.</w:t>
      </w:r>
      <w:r w:rsidRPr="00655CFD">
        <w:rPr>
          <w:rFonts w:ascii="David" w:hAnsi="David" w:cs="David"/>
          <w:b/>
          <w:bCs/>
          <w:i/>
          <w:iCs/>
          <w:rtl/>
        </w:rPr>
        <w:tab/>
        <w:t xml:space="preserve">היה מדובר על </w:t>
      </w:r>
      <w:r w:rsidR="004D17E0">
        <w:rPr>
          <w:rFonts w:ascii="David" w:hAnsi="David" w:cs="David"/>
          <w:b/>
          <w:bCs/>
          <w:i/>
          <w:iCs/>
          <w:rtl/>
        </w:rPr>
        <w:t xml:space="preserve">בית ברח' </w:t>
      </w:r>
      <w:r w:rsidR="004D17E0">
        <w:rPr>
          <w:rFonts w:ascii="David" w:hAnsi="David" w:cs="David" w:hint="cs"/>
          <w:b/>
          <w:bCs/>
          <w:i/>
          <w:iCs/>
          <w:rtl/>
        </w:rPr>
        <w:t>...</w:t>
      </w:r>
      <w:r w:rsidRPr="00655CFD">
        <w:rPr>
          <w:rFonts w:ascii="David" w:hAnsi="David" w:cs="David"/>
          <w:b/>
          <w:bCs/>
          <w:i/>
          <w:iCs/>
          <w:rtl/>
        </w:rPr>
        <w:t>, זה כתוב, הנה התצהירים, מה שאני מחזיקה פה, אז בפירוש כתוב, היא כותבת: "הנני בעלת הזכ</w:t>
      </w:r>
      <w:r w:rsidR="004D17E0">
        <w:rPr>
          <w:rFonts w:ascii="David" w:hAnsi="David" w:cs="David"/>
          <w:b/>
          <w:bCs/>
          <w:i/>
          <w:iCs/>
          <w:rtl/>
        </w:rPr>
        <w:t>ויות בבית ברח'</w:t>
      </w:r>
      <w:r w:rsidR="004D17E0">
        <w:rPr>
          <w:rFonts w:ascii="David" w:hAnsi="David" w:cs="David" w:hint="cs"/>
          <w:b/>
          <w:bCs/>
          <w:i/>
          <w:iCs/>
          <w:rtl/>
        </w:rPr>
        <w:t>...</w:t>
      </w:r>
      <w:r w:rsidR="004D17E0">
        <w:rPr>
          <w:rFonts w:ascii="David" w:hAnsi="David" w:cs="David"/>
          <w:b/>
          <w:bCs/>
          <w:i/>
          <w:iCs/>
          <w:rtl/>
        </w:rPr>
        <w:t xml:space="preserve"> או</w:t>
      </w:r>
      <w:r w:rsidR="004D17E0">
        <w:rPr>
          <w:rFonts w:ascii="David" w:hAnsi="David" w:cs="David" w:hint="cs"/>
          <w:b/>
          <w:bCs/>
          <w:i/>
          <w:iCs/>
          <w:rtl/>
        </w:rPr>
        <w:t>..</w:t>
      </w:r>
      <w:r w:rsidRPr="00655CFD">
        <w:rPr>
          <w:rFonts w:ascii="David" w:hAnsi="David" w:cs="David"/>
          <w:b/>
          <w:bCs/>
          <w:i/>
          <w:iCs/>
          <w:rtl/>
        </w:rPr>
        <w:t xml:space="preserve">" אני בלי </w:t>
      </w:r>
      <w:r w:rsidRPr="00655CFD">
        <w:rPr>
          <w:rFonts w:ascii="David" w:hAnsi="David" w:cs="David"/>
          <w:b/>
          <w:bCs/>
          <w:i/>
          <w:iCs/>
          <w:rtl/>
        </w:rPr>
        <w:lastRenderedPageBreak/>
        <w:t>משקפיים, "</w:t>
      </w:r>
      <w:r w:rsidR="004D17E0">
        <w:rPr>
          <w:rFonts w:ascii="David" w:hAnsi="David" w:cs="David" w:hint="cs"/>
          <w:b/>
          <w:bCs/>
          <w:i/>
          <w:iCs/>
          <w:rtl/>
        </w:rPr>
        <w:t>ב...</w:t>
      </w:r>
      <w:r w:rsidRPr="00655CFD">
        <w:rPr>
          <w:rFonts w:ascii="David" w:hAnsi="David" w:cs="David"/>
          <w:b/>
          <w:bCs/>
          <w:i/>
          <w:iCs/>
          <w:rtl/>
        </w:rPr>
        <w:t xml:space="preserve">, והרשום בפנקסי לשכת רישום המקרקעין בתור גוש </w:t>
      </w:r>
      <w:r w:rsidR="004D17E0">
        <w:rPr>
          <w:rFonts w:ascii="David" w:hAnsi="David" w:cs="David" w:hint="cs"/>
          <w:b/>
          <w:bCs/>
          <w:i/>
          <w:iCs/>
          <w:rtl/>
        </w:rPr>
        <w:t>...</w:t>
      </w:r>
      <w:r w:rsidRPr="00655CFD">
        <w:rPr>
          <w:rFonts w:ascii="David" w:hAnsi="David" w:cs="David"/>
          <w:b/>
          <w:bCs/>
          <w:i/>
          <w:iCs/>
          <w:rtl/>
        </w:rPr>
        <w:t xml:space="preserve"> חלקה </w:t>
      </w:r>
      <w:r w:rsidR="004D17E0">
        <w:rPr>
          <w:rFonts w:ascii="David" w:hAnsi="David" w:cs="David" w:hint="cs"/>
          <w:b/>
          <w:bCs/>
          <w:i/>
          <w:iCs/>
          <w:rtl/>
        </w:rPr>
        <w:t>...</w:t>
      </w:r>
      <w:r w:rsidRPr="00655CFD">
        <w:rPr>
          <w:rFonts w:ascii="David" w:hAnsi="David" w:cs="David"/>
          <w:b/>
          <w:bCs/>
          <w:i/>
          <w:iCs/>
          <w:rtl/>
        </w:rPr>
        <w:t xml:space="preserve"> (להלן "הבית")". זאת אומרת זה ברור שהנכס זה הגוש והחלקה הזו ומה שעומד עליו. ואני לא רואה הבדל בין בניין לבית. </w:t>
      </w:r>
    </w:p>
    <w:p w:rsidR="00A57DDA" w:rsidRPr="00655CFD" w:rsidRDefault="00A57DDA" w:rsidP="00A57DDA">
      <w:pPr>
        <w:pStyle w:val="af5"/>
        <w:pBdr>
          <w:right w:val="none" w:sz="0" w:space="0" w:color="auto"/>
        </w:pBdr>
        <w:tabs>
          <w:tab w:val="left" w:pos="2125"/>
        </w:tabs>
        <w:ind w:left="2125" w:hanging="709"/>
        <w:jc w:val="both"/>
        <w:rPr>
          <w:rFonts w:ascii="David" w:hAnsi="David" w:cs="David"/>
          <w:b/>
          <w:bCs/>
          <w:i/>
          <w:iCs/>
          <w:rtl/>
        </w:rPr>
      </w:pPr>
      <w:r w:rsidRPr="00655CFD">
        <w:rPr>
          <w:rFonts w:ascii="David" w:hAnsi="David" w:cs="David"/>
          <w:b/>
          <w:bCs/>
          <w:i/>
          <w:iCs/>
          <w:rtl/>
        </w:rPr>
        <w:t>ש.</w:t>
      </w:r>
      <w:r w:rsidRPr="00655CFD">
        <w:rPr>
          <w:rFonts w:ascii="David" w:hAnsi="David" w:cs="David"/>
          <w:b/>
          <w:bCs/>
          <w:i/>
          <w:iCs/>
          <w:rtl/>
        </w:rPr>
        <w:tab/>
        <w:t>אז אני שוב אחדד. לא נדון איתך – חלק מהנכס עובר וחלק מהנכס נשאר בבעלותה? האם הנושא הזה עלה, התעורר באיזשהו הקשר?</w:t>
      </w:r>
    </w:p>
    <w:p w:rsidR="00A57DDA" w:rsidRPr="00655CFD" w:rsidRDefault="00A57DDA" w:rsidP="00A57DDA">
      <w:pPr>
        <w:pStyle w:val="af5"/>
        <w:pBdr>
          <w:right w:val="none" w:sz="0" w:space="0" w:color="auto"/>
        </w:pBdr>
        <w:tabs>
          <w:tab w:val="left" w:pos="2125"/>
        </w:tabs>
        <w:ind w:left="2125" w:hanging="709"/>
        <w:jc w:val="both"/>
        <w:rPr>
          <w:rFonts w:ascii="David" w:hAnsi="David" w:cs="David"/>
          <w:b/>
          <w:bCs/>
          <w:i/>
          <w:iCs/>
          <w:rtl/>
        </w:rPr>
      </w:pPr>
      <w:r w:rsidRPr="00655CFD">
        <w:rPr>
          <w:rFonts w:ascii="David" w:hAnsi="David" w:cs="David"/>
          <w:b/>
          <w:bCs/>
          <w:i/>
          <w:iCs/>
          <w:rtl/>
        </w:rPr>
        <w:t>ת.</w:t>
      </w:r>
      <w:r w:rsidRPr="00655CFD">
        <w:rPr>
          <w:rFonts w:ascii="David" w:hAnsi="David" w:cs="David"/>
          <w:b/>
          <w:bCs/>
          <w:i/>
          <w:iCs/>
          <w:rtl/>
        </w:rPr>
        <w:tab/>
        <w:t xml:space="preserve">לא עלה בכלל. </w:t>
      </w:r>
    </w:p>
    <w:p w:rsidR="00A57DDA" w:rsidRPr="00655CFD" w:rsidRDefault="00A57DDA" w:rsidP="00A57DDA">
      <w:pPr>
        <w:pStyle w:val="af5"/>
        <w:pBdr>
          <w:right w:val="none" w:sz="0" w:space="0" w:color="auto"/>
        </w:pBdr>
        <w:tabs>
          <w:tab w:val="left" w:pos="2125"/>
        </w:tabs>
        <w:ind w:left="2125" w:hanging="709"/>
        <w:jc w:val="both"/>
        <w:rPr>
          <w:rFonts w:ascii="David" w:hAnsi="David" w:cs="David"/>
          <w:b/>
          <w:bCs/>
          <w:i/>
          <w:iCs/>
          <w:rtl/>
        </w:rPr>
      </w:pPr>
      <w:r w:rsidRPr="00655CFD">
        <w:rPr>
          <w:rFonts w:ascii="David" w:hAnsi="David" w:cs="David"/>
          <w:b/>
          <w:bCs/>
          <w:i/>
          <w:iCs/>
          <w:rtl/>
        </w:rPr>
        <w:t>ש.</w:t>
      </w:r>
      <w:r w:rsidRPr="00655CFD">
        <w:rPr>
          <w:rFonts w:ascii="David" w:hAnsi="David" w:cs="David"/>
          <w:b/>
          <w:bCs/>
          <w:i/>
          <w:iCs/>
          <w:rtl/>
        </w:rPr>
        <w:tab/>
        <w:t>שאלה אחרונה שלי אלייך. אנחנו ביקשנו ממך לתת תצהיר, רציתי שתספרי אולי לביהמ"ש למה סירבת לתת תצהיר, למה העדפת להעיד בצורה פרונטאלית?</w:t>
      </w:r>
    </w:p>
    <w:p w:rsidR="00A57DDA" w:rsidRPr="00655CFD" w:rsidRDefault="00A57DDA" w:rsidP="00A57DDA">
      <w:pPr>
        <w:pStyle w:val="af5"/>
        <w:pBdr>
          <w:right w:val="none" w:sz="0" w:space="0" w:color="auto"/>
        </w:pBdr>
        <w:tabs>
          <w:tab w:val="left" w:pos="2125"/>
        </w:tabs>
        <w:ind w:left="2125" w:hanging="709"/>
        <w:jc w:val="both"/>
        <w:rPr>
          <w:rFonts w:ascii="David" w:hAnsi="David" w:cs="David"/>
          <w:b/>
          <w:bCs/>
          <w:i/>
          <w:iCs/>
          <w:rtl/>
        </w:rPr>
      </w:pPr>
      <w:r w:rsidRPr="00655CFD">
        <w:rPr>
          <w:rFonts w:ascii="David" w:hAnsi="David" w:cs="David"/>
          <w:b/>
          <w:bCs/>
          <w:i/>
          <w:iCs/>
          <w:rtl/>
        </w:rPr>
        <w:t>ת.</w:t>
      </w:r>
      <w:r w:rsidRPr="00655CFD">
        <w:rPr>
          <w:rFonts w:ascii="David" w:hAnsi="David" w:cs="David"/>
          <w:b/>
          <w:bCs/>
          <w:i/>
          <w:iCs/>
          <w:rtl/>
        </w:rPr>
        <w:tab/>
        <w:t xml:space="preserve">כן, תשמע, אני הייתי במצב, גם אז, אחרי ניתוח בפרק א', פרק ירך אחד, ועכשיו כשנפלתי זה הפרק השני, לצערי. אני הייתי עדה במשפטים, בסכסוכי משפחה במשפטים, אבל אף פעם לא הצטרכתי להגיש תצהיר. הנה, אני פה לרשותכם, תשאלו, וגם לא מקובל שעו"ד מגיש תצהיר. אבל אני חושבת שמה שאני מוסרת עכשיו זו באמת כל האינפורמציה שיש לי. </w:t>
      </w:r>
    </w:p>
    <w:p w:rsidR="00A57DDA" w:rsidRPr="00FB19E1" w:rsidRDefault="00A57DDA" w:rsidP="004D17E0">
      <w:pPr>
        <w:pStyle w:val="af5"/>
        <w:pBdr>
          <w:right w:val="none" w:sz="0" w:space="0" w:color="auto"/>
        </w:pBdr>
        <w:tabs>
          <w:tab w:val="left" w:pos="2125"/>
        </w:tabs>
        <w:ind w:left="2125" w:hanging="709"/>
        <w:jc w:val="both"/>
        <w:rPr>
          <w:rFonts w:ascii="David" w:hAnsi="David" w:cs="David"/>
          <w:b/>
          <w:bCs/>
          <w:i/>
          <w:iCs/>
          <w:rtl/>
          <w:lang w:val="en-US"/>
        </w:rPr>
      </w:pPr>
      <w:r w:rsidRPr="00D10F7C">
        <w:rPr>
          <w:rFonts w:ascii="David" w:hAnsi="David" w:cs="David"/>
          <w:b/>
          <w:bCs/>
          <w:i/>
          <w:iCs/>
          <w:rtl/>
        </w:rPr>
        <w:t xml:space="preserve">עו"ד </w:t>
      </w:r>
      <w:r w:rsidRPr="00D10F7C">
        <w:rPr>
          <w:rFonts w:ascii="David" w:hAnsi="David" w:cs="David"/>
          <w:b/>
          <w:bCs/>
          <w:i/>
          <w:iCs/>
          <w:rtl/>
          <w:lang w:val="en-US"/>
        </w:rPr>
        <w:t>באשי:</w:t>
      </w:r>
      <w:r w:rsidRPr="00D10F7C">
        <w:rPr>
          <w:rFonts w:ascii="David" w:hAnsi="David" w:cs="David"/>
          <w:b/>
          <w:bCs/>
          <w:i/>
          <w:iCs/>
          <w:rtl/>
          <w:lang w:val="en-US"/>
        </w:rPr>
        <w:tab/>
        <w:t xml:space="preserve">אני מודה לך מאוד, אין לי עוד שאלות. ישאל אותך כעת חברי כמה שאלות, מייצג את הצד השני. תודה, </w:t>
      </w:r>
      <w:r w:rsidR="004D17E0">
        <w:rPr>
          <w:rFonts w:ascii="David" w:hAnsi="David" w:cs="David" w:hint="cs"/>
          <w:b/>
          <w:bCs/>
          <w:i/>
          <w:iCs/>
          <w:rtl/>
          <w:lang w:val="en-US"/>
        </w:rPr>
        <w:t>..</w:t>
      </w:r>
      <w:r w:rsidRPr="00D10F7C">
        <w:rPr>
          <w:rFonts w:ascii="David" w:hAnsi="David" w:cs="David" w:hint="cs"/>
          <w:b/>
          <w:bCs/>
          <w:i/>
          <w:iCs/>
          <w:rtl/>
          <w:lang w:val="en-US"/>
        </w:rPr>
        <w:t>."</w:t>
      </w:r>
    </w:p>
    <w:p w:rsidR="00A57DDA" w:rsidRDefault="00A57DDA" w:rsidP="00A57DDA">
      <w:pPr>
        <w:rPr>
          <w:rFonts w:ascii="Arial" w:hAnsi="Arial"/>
          <w:noProof w:val="0"/>
          <w:rtl/>
        </w:rPr>
      </w:pPr>
    </w:p>
    <w:p w:rsidR="00A57DDA" w:rsidRPr="002F3942" w:rsidRDefault="00A57DDA" w:rsidP="00A57DDA">
      <w:pPr>
        <w:rPr>
          <w:rFonts w:ascii="Arial" w:hAnsi="Arial"/>
          <w:noProof w:val="0"/>
          <w:rtl/>
        </w:rPr>
      </w:pPr>
    </w:p>
    <w:p w:rsidR="00A57DDA" w:rsidRDefault="00A57DDA" w:rsidP="004D17E0">
      <w:pPr>
        <w:pStyle w:val="af1"/>
        <w:numPr>
          <w:ilvl w:val="0"/>
          <w:numId w:val="1"/>
        </w:numPr>
        <w:spacing w:line="360" w:lineRule="auto"/>
        <w:jc w:val="both"/>
        <w:rPr>
          <w:rFonts w:ascii="Arial" w:hAnsi="Arial"/>
          <w:noProof w:val="0"/>
        </w:rPr>
      </w:pPr>
      <w:r>
        <w:rPr>
          <w:rFonts w:ascii="Arial" w:hAnsi="Arial" w:hint="cs"/>
          <w:noProof w:val="0"/>
          <w:rtl/>
        </w:rPr>
        <w:t xml:space="preserve">ובחקירה הנגדית העידה עורכת דין </w:t>
      </w:r>
      <w:r w:rsidR="004D17E0">
        <w:rPr>
          <w:rFonts w:ascii="Arial" w:hAnsi="Arial" w:hint="cs"/>
          <w:noProof w:val="0"/>
          <w:rtl/>
        </w:rPr>
        <w:t>...</w:t>
      </w:r>
      <w:r>
        <w:rPr>
          <w:rFonts w:ascii="Arial" w:hAnsi="Arial" w:hint="cs"/>
          <w:noProof w:val="0"/>
          <w:rtl/>
        </w:rPr>
        <w:t xml:space="preserve">, בין השאר, כך: </w:t>
      </w:r>
    </w:p>
    <w:p w:rsidR="00A57DDA" w:rsidRPr="00D10F7C" w:rsidRDefault="00A57DDA" w:rsidP="00A57DDA">
      <w:pPr>
        <w:spacing w:line="360" w:lineRule="auto"/>
        <w:jc w:val="both"/>
        <w:rPr>
          <w:b/>
          <w:bCs/>
          <w:i/>
          <w:iCs/>
          <w:rtl/>
        </w:rPr>
      </w:pPr>
    </w:p>
    <w:p w:rsidR="00A57DDA" w:rsidRPr="00D10F7C" w:rsidRDefault="00A57DDA" w:rsidP="00A57DDA">
      <w:pPr>
        <w:spacing w:line="360" w:lineRule="auto"/>
        <w:ind w:left="2126" w:hanging="709"/>
        <w:jc w:val="both"/>
        <w:rPr>
          <w:rFonts w:ascii="David" w:hAnsi="David"/>
          <w:b/>
          <w:bCs/>
          <w:i/>
          <w:iCs/>
          <w:noProof w:val="0"/>
          <w:spacing w:val="22"/>
          <w:sz w:val="26"/>
          <w:szCs w:val="26"/>
          <w:lang w:eastAsia="x-none"/>
        </w:rPr>
      </w:pPr>
      <w:r>
        <w:rPr>
          <w:rFonts w:ascii="David" w:hAnsi="David" w:hint="cs"/>
          <w:b/>
          <w:bCs/>
          <w:i/>
          <w:iCs/>
          <w:noProof w:val="0"/>
          <w:spacing w:val="22"/>
          <w:sz w:val="26"/>
          <w:szCs w:val="26"/>
          <w:rtl/>
          <w:lang w:eastAsia="x-none"/>
        </w:rPr>
        <w:t>"</w:t>
      </w:r>
      <w:r w:rsidRPr="00D10F7C">
        <w:rPr>
          <w:rFonts w:ascii="David" w:hAnsi="David"/>
          <w:b/>
          <w:bCs/>
          <w:i/>
          <w:iCs/>
          <w:noProof w:val="0"/>
          <w:spacing w:val="22"/>
          <w:sz w:val="26"/>
          <w:szCs w:val="26"/>
          <w:rtl/>
          <w:lang w:eastAsia="x-none"/>
        </w:rPr>
        <w:t>ש.</w:t>
      </w:r>
      <w:r w:rsidRPr="00D10F7C">
        <w:rPr>
          <w:rFonts w:ascii="David" w:hAnsi="David"/>
          <w:b/>
          <w:bCs/>
          <w:i/>
          <w:iCs/>
          <w:noProof w:val="0"/>
          <w:spacing w:val="22"/>
          <w:sz w:val="26"/>
          <w:szCs w:val="26"/>
          <w:rtl/>
          <w:lang w:eastAsia="x-none"/>
        </w:rPr>
        <w:tab/>
        <w:t xml:space="preserve">לא שמעתי שום דבר על המצב הרפואי שמנע ממך להגיע. את נראית לי בריאה לחלוטין ואני מאחל לך עוד שנים </w:t>
      </w:r>
      <w:r w:rsidRPr="00D10F7C">
        <w:rPr>
          <w:rFonts w:ascii="David" w:hAnsi="David"/>
          <w:b/>
          <w:bCs/>
          <w:i/>
          <w:iCs/>
          <w:noProof w:val="0"/>
          <w:spacing w:val="22"/>
          <w:sz w:val="26"/>
          <w:szCs w:val="26"/>
          <w:rtl/>
          <w:lang w:eastAsia="x-none"/>
        </w:rPr>
        <w:lastRenderedPageBreak/>
        <w:t xml:space="preserve">ארוכות של חיים טובים, אבל לא אמרת – אני לא יכולה להגיע כי אני במצב בריאותי כזה או אחר. </w:t>
      </w:r>
    </w:p>
    <w:p w:rsidR="00A57DDA" w:rsidRPr="00D10F7C" w:rsidRDefault="00A57DDA" w:rsidP="00A57DDA">
      <w:pPr>
        <w:spacing w:line="360" w:lineRule="auto"/>
        <w:ind w:left="2126" w:hanging="709"/>
        <w:jc w:val="both"/>
        <w:rPr>
          <w:rFonts w:ascii="David" w:hAnsi="David"/>
          <w:b/>
          <w:bCs/>
          <w:i/>
          <w:iCs/>
          <w:noProof w:val="0"/>
          <w:spacing w:val="22"/>
          <w:sz w:val="26"/>
          <w:szCs w:val="26"/>
          <w:rtl/>
          <w:lang w:eastAsia="x-none"/>
        </w:rPr>
      </w:pPr>
      <w:r w:rsidRPr="00D10F7C">
        <w:rPr>
          <w:rFonts w:ascii="David" w:hAnsi="David"/>
          <w:b/>
          <w:bCs/>
          <w:i/>
          <w:iCs/>
          <w:noProof w:val="0"/>
          <w:spacing w:val="22"/>
          <w:sz w:val="26"/>
          <w:szCs w:val="26"/>
          <w:rtl/>
          <w:lang w:eastAsia="x-none"/>
        </w:rPr>
        <w:t>ת.</w:t>
      </w:r>
      <w:r w:rsidRPr="00D10F7C">
        <w:rPr>
          <w:rFonts w:ascii="David" w:hAnsi="David"/>
          <w:b/>
          <w:bCs/>
          <w:i/>
          <w:iCs/>
          <w:noProof w:val="0"/>
          <w:spacing w:val="22"/>
          <w:sz w:val="26"/>
          <w:szCs w:val="26"/>
          <w:rtl/>
          <w:lang w:eastAsia="x-none"/>
        </w:rPr>
        <w:tab/>
        <w:t xml:space="preserve">אני כן אמרתי. </w:t>
      </w:r>
    </w:p>
    <w:p w:rsidR="00A57DDA" w:rsidRPr="00D10F7C" w:rsidRDefault="00A57DDA" w:rsidP="00A57DDA">
      <w:pPr>
        <w:spacing w:line="360" w:lineRule="auto"/>
        <w:ind w:left="2126" w:hanging="709"/>
        <w:jc w:val="both"/>
        <w:rPr>
          <w:rFonts w:ascii="David" w:hAnsi="David"/>
          <w:b/>
          <w:bCs/>
          <w:i/>
          <w:iCs/>
          <w:noProof w:val="0"/>
          <w:spacing w:val="22"/>
          <w:sz w:val="26"/>
          <w:szCs w:val="26"/>
          <w:rtl/>
          <w:lang w:eastAsia="x-none"/>
        </w:rPr>
      </w:pPr>
      <w:r w:rsidRPr="00D10F7C">
        <w:rPr>
          <w:rFonts w:ascii="David" w:hAnsi="David"/>
          <w:b/>
          <w:bCs/>
          <w:i/>
          <w:iCs/>
          <w:noProof w:val="0"/>
          <w:spacing w:val="22"/>
          <w:sz w:val="26"/>
          <w:szCs w:val="26"/>
          <w:rtl/>
          <w:lang w:eastAsia="x-none"/>
        </w:rPr>
        <w:t>ש.</w:t>
      </w:r>
      <w:r w:rsidRPr="00D10F7C">
        <w:rPr>
          <w:rFonts w:ascii="David" w:hAnsi="David"/>
          <w:b/>
          <w:bCs/>
          <w:i/>
          <w:iCs/>
          <w:noProof w:val="0"/>
          <w:spacing w:val="22"/>
          <w:sz w:val="26"/>
          <w:szCs w:val="26"/>
          <w:rtl/>
          <w:lang w:eastAsia="x-none"/>
        </w:rPr>
        <w:tab/>
        <w:t xml:space="preserve">לשאלה שלו לא, אבל אני מאפשר לך עכשיו לומר. </w:t>
      </w:r>
    </w:p>
    <w:p w:rsidR="00A57DDA" w:rsidRPr="00D10F7C" w:rsidRDefault="00A57DDA" w:rsidP="00A57DDA">
      <w:pPr>
        <w:spacing w:line="360" w:lineRule="auto"/>
        <w:ind w:left="2126" w:hanging="709"/>
        <w:jc w:val="both"/>
        <w:rPr>
          <w:rFonts w:ascii="David" w:hAnsi="David"/>
          <w:b/>
          <w:bCs/>
          <w:i/>
          <w:iCs/>
          <w:noProof w:val="0"/>
          <w:spacing w:val="22"/>
          <w:sz w:val="26"/>
          <w:szCs w:val="26"/>
          <w:rtl/>
          <w:lang w:eastAsia="x-none"/>
        </w:rPr>
      </w:pPr>
      <w:r w:rsidRPr="00D10F7C">
        <w:rPr>
          <w:rFonts w:ascii="David" w:hAnsi="David"/>
          <w:b/>
          <w:bCs/>
          <w:i/>
          <w:iCs/>
          <w:noProof w:val="0"/>
          <w:spacing w:val="22"/>
          <w:sz w:val="26"/>
          <w:szCs w:val="26"/>
          <w:rtl/>
          <w:lang w:eastAsia="x-none"/>
        </w:rPr>
        <w:t>ת.</w:t>
      </w:r>
      <w:r w:rsidRPr="00D10F7C">
        <w:rPr>
          <w:rFonts w:ascii="David" w:hAnsi="David"/>
          <w:b/>
          <w:bCs/>
          <w:i/>
          <w:iCs/>
          <w:noProof w:val="0"/>
          <w:spacing w:val="22"/>
          <w:sz w:val="26"/>
          <w:szCs w:val="26"/>
          <w:rtl/>
          <w:lang w:eastAsia="x-none"/>
        </w:rPr>
        <w:tab/>
        <w:t xml:space="preserve">אני נפלתי, </w:t>
      </w:r>
    </w:p>
    <w:p w:rsidR="00A57DDA" w:rsidRPr="00D10F7C" w:rsidRDefault="00A57DDA" w:rsidP="00A57DDA">
      <w:pPr>
        <w:spacing w:line="360" w:lineRule="auto"/>
        <w:ind w:left="2126" w:hanging="709"/>
        <w:jc w:val="both"/>
        <w:rPr>
          <w:rFonts w:ascii="David" w:hAnsi="David"/>
          <w:b/>
          <w:bCs/>
          <w:i/>
          <w:iCs/>
          <w:noProof w:val="0"/>
          <w:spacing w:val="22"/>
          <w:sz w:val="26"/>
          <w:szCs w:val="26"/>
          <w:rtl/>
          <w:lang w:eastAsia="x-none"/>
        </w:rPr>
      </w:pPr>
      <w:r w:rsidRPr="00D10F7C">
        <w:rPr>
          <w:rFonts w:ascii="David" w:hAnsi="David"/>
          <w:b/>
          <w:bCs/>
          <w:i/>
          <w:iCs/>
          <w:noProof w:val="0"/>
          <w:spacing w:val="22"/>
          <w:sz w:val="26"/>
          <w:szCs w:val="26"/>
          <w:rtl/>
          <w:lang w:eastAsia="x-none"/>
        </w:rPr>
        <w:t>ש.</w:t>
      </w:r>
      <w:r w:rsidRPr="00D10F7C">
        <w:rPr>
          <w:rFonts w:ascii="David" w:hAnsi="David"/>
          <w:b/>
          <w:bCs/>
          <w:i/>
          <w:iCs/>
          <w:noProof w:val="0"/>
          <w:spacing w:val="22"/>
          <w:sz w:val="26"/>
          <w:szCs w:val="26"/>
          <w:rtl/>
          <w:lang w:eastAsia="x-none"/>
        </w:rPr>
        <w:tab/>
        <w:t>את לא יכולת להגיע היום, פיזית?</w:t>
      </w:r>
    </w:p>
    <w:p w:rsidR="00A57DDA" w:rsidRPr="00D10F7C" w:rsidRDefault="00A57DDA" w:rsidP="00A57DDA">
      <w:pPr>
        <w:spacing w:line="360" w:lineRule="auto"/>
        <w:ind w:left="2126" w:hanging="709"/>
        <w:jc w:val="both"/>
        <w:rPr>
          <w:rFonts w:ascii="David" w:hAnsi="David"/>
          <w:b/>
          <w:bCs/>
          <w:i/>
          <w:iCs/>
          <w:noProof w:val="0"/>
          <w:spacing w:val="22"/>
          <w:sz w:val="26"/>
          <w:szCs w:val="26"/>
          <w:rtl/>
          <w:lang w:eastAsia="x-none"/>
        </w:rPr>
      </w:pPr>
      <w:r w:rsidRPr="00D10F7C">
        <w:rPr>
          <w:rFonts w:ascii="David" w:hAnsi="David"/>
          <w:b/>
          <w:bCs/>
          <w:i/>
          <w:iCs/>
          <w:noProof w:val="0"/>
          <w:spacing w:val="22"/>
          <w:sz w:val="26"/>
          <w:szCs w:val="26"/>
          <w:rtl/>
          <w:lang w:eastAsia="x-none"/>
        </w:rPr>
        <w:t>ת.</w:t>
      </w:r>
      <w:r w:rsidRPr="00D10F7C">
        <w:rPr>
          <w:rFonts w:ascii="David" w:hAnsi="David"/>
          <w:b/>
          <w:bCs/>
          <w:i/>
          <w:iCs/>
          <w:noProof w:val="0"/>
          <w:spacing w:val="22"/>
          <w:sz w:val="26"/>
          <w:szCs w:val="26"/>
          <w:rtl/>
          <w:lang w:eastAsia="x-none"/>
        </w:rPr>
        <w:tab/>
        <w:t xml:space="preserve">לא. יכולה, אני גם בקושי הולכת. זה נכון שאני עושה פיזיותרפיה אבל הנפילה הזאת שבה קיבלתי שני שברים בירך הימני, היא לא מאפשרת ללכת מהר. לא הייתי במשרד למשל. אני גם לא יוצאת לטיולים. אני יושבת בבית ופה ושם כשבא פיזיותרפיסט אז אנחנו הולכים קצת ברגל. </w:t>
      </w:r>
    </w:p>
    <w:p w:rsidR="00A57DDA" w:rsidRPr="00D10F7C" w:rsidRDefault="00A57DDA" w:rsidP="00A57DDA">
      <w:pPr>
        <w:spacing w:line="360" w:lineRule="auto"/>
        <w:ind w:left="2126" w:hanging="709"/>
        <w:jc w:val="center"/>
        <w:rPr>
          <w:rFonts w:ascii="David" w:hAnsi="David"/>
          <w:b/>
          <w:bCs/>
          <w:i/>
          <w:iCs/>
          <w:noProof w:val="0"/>
          <w:spacing w:val="22"/>
          <w:sz w:val="26"/>
          <w:szCs w:val="26"/>
          <w:rtl/>
          <w:lang w:eastAsia="x-none"/>
        </w:rPr>
      </w:pPr>
      <w:r>
        <w:rPr>
          <w:rFonts w:ascii="David" w:hAnsi="David" w:hint="cs"/>
          <w:b/>
          <w:bCs/>
          <w:i/>
          <w:iCs/>
          <w:noProof w:val="0"/>
          <w:spacing w:val="22"/>
          <w:sz w:val="26"/>
          <w:szCs w:val="26"/>
          <w:rtl/>
          <w:lang w:eastAsia="x-none"/>
        </w:rPr>
        <w:t>...</w:t>
      </w:r>
    </w:p>
    <w:p w:rsidR="00A57DDA" w:rsidRPr="00D10F7C" w:rsidRDefault="00A57DDA" w:rsidP="004D17E0">
      <w:pPr>
        <w:spacing w:line="360" w:lineRule="auto"/>
        <w:ind w:left="2126" w:hanging="709"/>
        <w:jc w:val="both"/>
        <w:rPr>
          <w:rFonts w:ascii="David" w:hAnsi="David"/>
          <w:b/>
          <w:bCs/>
          <w:i/>
          <w:iCs/>
          <w:noProof w:val="0"/>
          <w:spacing w:val="22"/>
          <w:sz w:val="26"/>
          <w:szCs w:val="26"/>
          <w:rtl/>
          <w:lang w:eastAsia="x-none"/>
        </w:rPr>
      </w:pPr>
      <w:r w:rsidRPr="00D10F7C">
        <w:rPr>
          <w:rFonts w:ascii="David" w:hAnsi="David"/>
          <w:b/>
          <w:bCs/>
          <w:i/>
          <w:iCs/>
          <w:noProof w:val="0"/>
          <w:spacing w:val="22"/>
          <w:sz w:val="26"/>
          <w:szCs w:val="26"/>
          <w:rtl/>
          <w:lang w:eastAsia="x-none"/>
        </w:rPr>
        <w:t>עו"ד באשי:</w:t>
      </w:r>
      <w:r w:rsidRPr="00D10F7C">
        <w:rPr>
          <w:rFonts w:ascii="David" w:hAnsi="David"/>
          <w:b/>
          <w:bCs/>
          <w:i/>
          <w:iCs/>
          <w:noProof w:val="0"/>
          <w:spacing w:val="22"/>
          <w:sz w:val="26"/>
          <w:szCs w:val="26"/>
          <w:rtl/>
          <w:lang w:eastAsia="x-none"/>
        </w:rPr>
        <w:tab/>
        <w:t xml:space="preserve">אז אני אחדד כדי לוותר על החוזרת של חברי. לא שאלתי אותך מה היתה כוונת המנוחה, תכף נגיע לזה. שאלתי אותך, אם אני אגיד לך עכשיו שעל </w:t>
      </w:r>
      <w:r w:rsidR="004D17E0">
        <w:rPr>
          <w:rFonts w:ascii="David" w:hAnsi="David" w:hint="cs"/>
          <w:b/>
          <w:bCs/>
          <w:i/>
          <w:iCs/>
          <w:noProof w:val="0"/>
          <w:spacing w:val="22"/>
          <w:sz w:val="26"/>
          <w:szCs w:val="26"/>
          <w:rtl/>
          <w:lang w:eastAsia="x-none"/>
        </w:rPr>
        <w:t>...</w:t>
      </w:r>
      <w:r w:rsidRPr="00D10F7C">
        <w:rPr>
          <w:rFonts w:ascii="David" w:hAnsi="David"/>
          <w:b/>
          <w:bCs/>
          <w:i/>
          <w:iCs/>
          <w:noProof w:val="0"/>
          <w:spacing w:val="22"/>
          <w:sz w:val="26"/>
          <w:szCs w:val="26"/>
          <w:rtl/>
          <w:lang w:eastAsia="x-none"/>
        </w:rPr>
        <w:t xml:space="preserve"> יש 50 דירות, מה תגידי לי?</w:t>
      </w:r>
    </w:p>
    <w:p w:rsidR="00A57DDA" w:rsidRPr="00D10F7C" w:rsidRDefault="00A57DDA" w:rsidP="00A57DDA">
      <w:pPr>
        <w:spacing w:line="360" w:lineRule="auto"/>
        <w:ind w:left="2126" w:hanging="709"/>
        <w:jc w:val="both"/>
        <w:rPr>
          <w:rFonts w:ascii="David" w:hAnsi="David"/>
          <w:b/>
          <w:bCs/>
          <w:i/>
          <w:iCs/>
          <w:noProof w:val="0"/>
          <w:spacing w:val="22"/>
          <w:sz w:val="26"/>
          <w:szCs w:val="26"/>
          <w:rtl/>
          <w:lang w:eastAsia="x-none"/>
        </w:rPr>
      </w:pPr>
      <w:r w:rsidRPr="00D10F7C">
        <w:rPr>
          <w:rFonts w:ascii="David" w:hAnsi="David"/>
          <w:b/>
          <w:bCs/>
          <w:i/>
          <w:iCs/>
          <w:noProof w:val="0"/>
          <w:spacing w:val="22"/>
          <w:sz w:val="26"/>
          <w:szCs w:val="26"/>
          <w:rtl/>
          <w:lang w:eastAsia="x-none"/>
        </w:rPr>
        <w:t>ת.</w:t>
      </w:r>
      <w:r w:rsidRPr="00D10F7C">
        <w:rPr>
          <w:rFonts w:ascii="David" w:hAnsi="David"/>
          <w:b/>
          <w:bCs/>
          <w:i/>
          <w:iCs/>
          <w:noProof w:val="0"/>
          <w:spacing w:val="22"/>
          <w:sz w:val="26"/>
          <w:szCs w:val="26"/>
          <w:rtl/>
          <w:lang w:eastAsia="x-none"/>
        </w:rPr>
        <w:tab/>
        <w:t xml:space="preserve">אני אגיד לך שרצון המנוחה היה להעביר ללא תמורה את ה-50 דירות, מה שיש בבית הזה, לבן שלה. </w:t>
      </w:r>
    </w:p>
    <w:p w:rsidR="00A57DDA" w:rsidRPr="00D10F7C" w:rsidRDefault="00A57DDA" w:rsidP="00A57DDA">
      <w:pPr>
        <w:spacing w:line="360" w:lineRule="auto"/>
        <w:ind w:left="2126" w:hanging="709"/>
        <w:jc w:val="both"/>
        <w:rPr>
          <w:rFonts w:ascii="David" w:hAnsi="David"/>
          <w:b/>
          <w:bCs/>
          <w:i/>
          <w:iCs/>
          <w:noProof w:val="0"/>
          <w:spacing w:val="22"/>
          <w:sz w:val="26"/>
          <w:szCs w:val="26"/>
          <w:rtl/>
          <w:lang w:eastAsia="x-none"/>
        </w:rPr>
      </w:pPr>
      <w:r w:rsidRPr="00D10F7C">
        <w:rPr>
          <w:rFonts w:ascii="David" w:hAnsi="David"/>
          <w:b/>
          <w:bCs/>
          <w:i/>
          <w:iCs/>
          <w:noProof w:val="0"/>
          <w:spacing w:val="22"/>
          <w:sz w:val="26"/>
          <w:szCs w:val="26"/>
          <w:rtl/>
          <w:lang w:eastAsia="x-none"/>
        </w:rPr>
        <w:t>ש.</w:t>
      </w:r>
      <w:r w:rsidRPr="00D10F7C">
        <w:rPr>
          <w:rFonts w:ascii="David" w:hAnsi="David"/>
          <w:b/>
          <w:bCs/>
          <w:i/>
          <w:iCs/>
          <w:noProof w:val="0"/>
          <w:spacing w:val="22"/>
          <w:sz w:val="26"/>
          <w:szCs w:val="26"/>
          <w:rtl/>
          <w:lang w:eastAsia="x-none"/>
        </w:rPr>
        <w:tab/>
        <w:t xml:space="preserve">את וידאת מה זה? </w:t>
      </w:r>
    </w:p>
    <w:p w:rsidR="00A57DDA" w:rsidRPr="00D10F7C" w:rsidRDefault="00A57DDA" w:rsidP="004D17E0">
      <w:pPr>
        <w:spacing w:line="360" w:lineRule="auto"/>
        <w:ind w:left="2126" w:hanging="709"/>
        <w:jc w:val="both"/>
        <w:rPr>
          <w:rFonts w:ascii="David" w:hAnsi="David"/>
          <w:b/>
          <w:bCs/>
          <w:i/>
          <w:iCs/>
          <w:noProof w:val="0"/>
          <w:spacing w:val="22"/>
          <w:sz w:val="26"/>
          <w:szCs w:val="26"/>
          <w:rtl/>
          <w:lang w:eastAsia="x-none"/>
        </w:rPr>
      </w:pPr>
      <w:r w:rsidRPr="00D10F7C">
        <w:rPr>
          <w:rFonts w:ascii="David" w:hAnsi="David"/>
          <w:b/>
          <w:bCs/>
          <w:i/>
          <w:iCs/>
          <w:noProof w:val="0"/>
          <w:spacing w:val="22"/>
          <w:sz w:val="26"/>
          <w:szCs w:val="26"/>
          <w:rtl/>
          <w:lang w:eastAsia="x-none"/>
        </w:rPr>
        <w:t>ת.</w:t>
      </w:r>
      <w:r w:rsidRPr="00D10F7C">
        <w:rPr>
          <w:rFonts w:ascii="David" w:hAnsi="David"/>
          <w:b/>
          <w:bCs/>
          <w:i/>
          <w:iCs/>
          <w:noProof w:val="0"/>
          <w:spacing w:val="22"/>
          <w:sz w:val="26"/>
          <w:szCs w:val="26"/>
          <w:rtl/>
          <w:lang w:eastAsia="x-none"/>
        </w:rPr>
        <w:tab/>
        <w:t xml:space="preserve">היא אמרה – אני רוצה שאת הבית הזה יקבל </w:t>
      </w:r>
      <w:r w:rsidR="004D17E0">
        <w:rPr>
          <w:rFonts w:ascii="David" w:hAnsi="David" w:hint="cs"/>
          <w:b/>
          <w:bCs/>
          <w:i/>
          <w:iCs/>
          <w:noProof w:val="0"/>
          <w:spacing w:val="22"/>
          <w:sz w:val="26"/>
          <w:szCs w:val="26"/>
          <w:rtl/>
          <w:lang w:eastAsia="x-none"/>
        </w:rPr>
        <w:t>...</w:t>
      </w:r>
      <w:r w:rsidRPr="00D10F7C">
        <w:rPr>
          <w:rFonts w:ascii="David" w:hAnsi="David"/>
          <w:b/>
          <w:bCs/>
          <w:i/>
          <w:iCs/>
          <w:noProof w:val="0"/>
          <w:spacing w:val="22"/>
          <w:sz w:val="26"/>
          <w:szCs w:val="26"/>
          <w:rtl/>
          <w:lang w:eastAsia="x-none"/>
        </w:rPr>
        <w:t xml:space="preserve"> ממני. </w:t>
      </w:r>
    </w:p>
    <w:p w:rsidR="00A57DDA" w:rsidRPr="00D10F7C" w:rsidRDefault="00A57DDA" w:rsidP="00A57DDA">
      <w:pPr>
        <w:spacing w:line="360" w:lineRule="auto"/>
        <w:ind w:left="2126" w:hanging="709"/>
        <w:jc w:val="both"/>
        <w:rPr>
          <w:rFonts w:ascii="David" w:hAnsi="David"/>
          <w:b/>
          <w:bCs/>
          <w:i/>
          <w:iCs/>
          <w:noProof w:val="0"/>
          <w:spacing w:val="22"/>
          <w:sz w:val="26"/>
          <w:szCs w:val="26"/>
          <w:rtl/>
          <w:lang w:eastAsia="x-none"/>
        </w:rPr>
      </w:pPr>
      <w:r w:rsidRPr="00D10F7C">
        <w:rPr>
          <w:rFonts w:ascii="David" w:hAnsi="David"/>
          <w:b/>
          <w:bCs/>
          <w:i/>
          <w:iCs/>
          <w:noProof w:val="0"/>
          <w:spacing w:val="22"/>
          <w:sz w:val="26"/>
          <w:szCs w:val="26"/>
          <w:rtl/>
          <w:lang w:eastAsia="x-none"/>
        </w:rPr>
        <w:t>ש.</w:t>
      </w:r>
      <w:r w:rsidRPr="00D10F7C">
        <w:rPr>
          <w:rFonts w:ascii="David" w:hAnsi="David"/>
          <w:b/>
          <w:bCs/>
          <w:i/>
          <w:iCs/>
          <w:noProof w:val="0"/>
          <w:spacing w:val="22"/>
          <w:sz w:val="26"/>
          <w:szCs w:val="26"/>
          <w:rtl/>
          <w:lang w:eastAsia="x-none"/>
        </w:rPr>
        <w:tab/>
        <w:t xml:space="preserve">אז היא השתמשה במונח "הבית", נכון? כי גם את השתמשת בו בתצהיר. </w:t>
      </w:r>
    </w:p>
    <w:p w:rsidR="00A57DDA" w:rsidRDefault="00A57DDA" w:rsidP="00A57DDA">
      <w:pPr>
        <w:spacing w:line="360" w:lineRule="auto"/>
        <w:ind w:left="2126" w:hanging="709"/>
        <w:jc w:val="both"/>
        <w:rPr>
          <w:b/>
          <w:bCs/>
          <w:i/>
          <w:iCs/>
          <w:rtl/>
        </w:rPr>
      </w:pPr>
      <w:r w:rsidRPr="00D10F7C">
        <w:rPr>
          <w:rFonts w:ascii="David" w:hAnsi="David"/>
          <w:b/>
          <w:bCs/>
          <w:i/>
          <w:iCs/>
          <w:noProof w:val="0"/>
          <w:spacing w:val="22"/>
          <w:sz w:val="26"/>
          <w:szCs w:val="26"/>
          <w:rtl/>
          <w:lang w:eastAsia="x-none"/>
        </w:rPr>
        <w:t>ת.</w:t>
      </w:r>
      <w:r w:rsidRPr="00D10F7C">
        <w:rPr>
          <w:rFonts w:ascii="David" w:hAnsi="David"/>
          <w:b/>
          <w:bCs/>
          <w:i/>
          <w:iCs/>
          <w:noProof w:val="0"/>
          <w:spacing w:val="22"/>
          <w:sz w:val="26"/>
          <w:szCs w:val="26"/>
          <w:rtl/>
          <w:lang w:eastAsia="x-none"/>
        </w:rPr>
        <w:tab/>
        <w:t>ה"בית". בית זה גם יכול להיות עם עשר קומות. בית זה לא בניין קרקע, זה יכול להיות גם עם עשר קומות, גם עם שלושים קומות.</w:t>
      </w:r>
      <w:r>
        <w:rPr>
          <w:rFonts w:hint="cs"/>
          <w:b/>
          <w:bCs/>
          <w:i/>
          <w:iCs/>
          <w:sz w:val="26"/>
          <w:szCs w:val="26"/>
          <w:rtl/>
        </w:rPr>
        <w:t>"</w:t>
      </w:r>
    </w:p>
    <w:p w:rsidR="00A57DDA" w:rsidRPr="00D10F7C" w:rsidRDefault="00A57DDA" w:rsidP="00A57DDA">
      <w:pPr>
        <w:spacing w:line="360" w:lineRule="auto"/>
        <w:ind w:left="2126" w:hanging="709"/>
        <w:jc w:val="both"/>
        <w:rPr>
          <w:b/>
          <w:bCs/>
          <w:i/>
          <w:iCs/>
          <w:rtl/>
        </w:rPr>
      </w:pPr>
    </w:p>
    <w:p w:rsidR="00A57DDA" w:rsidRDefault="00A57DDA" w:rsidP="00EC4FA1">
      <w:pPr>
        <w:pStyle w:val="af1"/>
        <w:numPr>
          <w:ilvl w:val="0"/>
          <w:numId w:val="1"/>
        </w:numPr>
        <w:spacing w:line="360" w:lineRule="auto"/>
        <w:jc w:val="both"/>
        <w:rPr>
          <w:rFonts w:ascii="Arial" w:hAnsi="Arial"/>
          <w:noProof w:val="0"/>
        </w:rPr>
      </w:pPr>
      <w:r>
        <w:rPr>
          <w:rFonts w:ascii="Arial" w:hAnsi="Arial" w:hint="cs"/>
          <w:noProof w:val="0"/>
          <w:rtl/>
        </w:rPr>
        <w:t xml:space="preserve">די לי באמור בחוות הדעת של ד"ר </w:t>
      </w:r>
      <w:r w:rsidR="00EC4FA1">
        <w:rPr>
          <w:rFonts w:ascii="Arial" w:hAnsi="Arial" w:hint="cs"/>
          <w:noProof w:val="0"/>
          <w:rtl/>
        </w:rPr>
        <w:t>...</w:t>
      </w:r>
      <w:r>
        <w:rPr>
          <w:rFonts w:ascii="Arial" w:hAnsi="Arial" w:hint="cs"/>
          <w:noProof w:val="0"/>
          <w:rtl/>
        </w:rPr>
        <w:t xml:space="preserve">, בהתרשמותי מעורכת דין </w:t>
      </w:r>
      <w:r w:rsidR="00EC4FA1">
        <w:rPr>
          <w:rFonts w:ascii="Arial" w:hAnsi="Arial" w:hint="cs"/>
          <w:noProof w:val="0"/>
          <w:rtl/>
        </w:rPr>
        <w:t>...</w:t>
      </w:r>
      <w:r>
        <w:rPr>
          <w:rFonts w:ascii="Arial" w:hAnsi="Arial" w:hint="cs"/>
          <w:noProof w:val="0"/>
          <w:rtl/>
        </w:rPr>
        <w:t xml:space="preserve"> ומעדותה כדי לקבוע בשניים: ראשית, כי המנוחה ציוותה את הבניין כולו לנתבע; שנית, כי המנוחה הבינה היטב את שהיא נותנת </w:t>
      </w:r>
      <w:r>
        <w:rPr>
          <w:rFonts w:ascii="Arial" w:hAnsi="Arial"/>
          <w:noProof w:val="0"/>
          <w:rtl/>
        </w:rPr>
        <w:t>–</w:t>
      </w:r>
      <w:r>
        <w:rPr>
          <w:rFonts w:ascii="Arial" w:hAnsi="Arial" w:hint="cs"/>
          <w:noProof w:val="0"/>
          <w:rtl/>
        </w:rPr>
        <w:t xml:space="preserve"> לאמור, את הבניין כולו. </w:t>
      </w:r>
    </w:p>
    <w:p w:rsidR="00A57DDA" w:rsidRDefault="00A57DDA" w:rsidP="00A57DDA">
      <w:pPr>
        <w:spacing w:line="360" w:lineRule="auto"/>
        <w:jc w:val="both"/>
        <w:rPr>
          <w:rFonts w:ascii="Arial" w:hAnsi="Arial"/>
          <w:noProof w:val="0"/>
          <w:rtl/>
        </w:rPr>
      </w:pPr>
    </w:p>
    <w:p w:rsidR="00A57DDA" w:rsidRPr="00CA47C6" w:rsidRDefault="00A57DDA" w:rsidP="00A57DDA">
      <w:pPr>
        <w:spacing w:line="360" w:lineRule="auto"/>
        <w:jc w:val="both"/>
        <w:rPr>
          <w:rFonts w:ascii="Arial" w:hAnsi="Arial"/>
          <w:b/>
          <w:bCs/>
          <w:noProof w:val="0"/>
          <w:u w:val="single"/>
        </w:rPr>
      </w:pPr>
      <w:r w:rsidRPr="00CA47C6">
        <w:rPr>
          <w:rFonts w:ascii="Arial" w:hAnsi="Arial" w:hint="cs"/>
          <w:b/>
          <w:bCs/>
          <w:noProof w:val="0"/>
          <w:u w:val="single"/>
          <w:rtl/>
        </w:rPr>
        <w:t>צ</w:t>
      </w:r>
      <w:r>
        <w:rPr>
          <w:rFonts w:ascii="Arial" w:hAnsi="Arial" w:hint="cs"/>
          <w:b/>
          <w:bCs/>
          <w:noProof w:val="0"/>
          <w:u w:val="single"/>
          <w:rtl/>
        </w:rPr>
        <w:t>י</w:t>
      </w:r>
      <w:r w:rsidRPr="00CA47C6">
        <w:rPr>
          <w:rFonts w:ascii="Arial" w:hAnsi="Arial" w:hint="cs"/>
          <w:b/>
          <w:bCs/>
          <w:noProof w:val="0"/>
          <w:u w:val="single"/>
          <w:rtl/>
        </w:rPr>
        <w:t>פ</w:t>
      </w:r>
      <w:r>
        <w:rPr>
          <w:rFonts w:ascii="Arial" w:hAnsi="Arial" w:hint="cs"/>
          <w:b/>
          <w:bCs/>
          <w:noProof w:val="0"/>
          <w:u w:val="single"/>
          <w:rtl/>
        </w:rPr>
        <w:t>י</w:t>
      </w:r>
      <w:r w:rsidRPr="00CA47C6">
        <w:rPr>
          <w:rFonts w:ascii="Arial" w:hAnsi="Arial" w:hint="cs"/>
          <w:b/>
          <w:bCs/>
          <w:noProof w:val="0"/>
          <w:u w:val="single"/>
          <w:rtl/>
        </w:rPr>
        <w:t>יה, הסתמכות ושינוי מצב לרעה</w:t>
      </w: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lastRenderedPageBreak/>
        <w:t xml:space="preserve">ביום 16.10.2011 דווח לרשויות המס על העברת הנכס בשלמותו לנתבע, על המשמעויות הכספיות כנובע מכך. </w:t>
      </w:r>
    </w:p>
    <w:p w:rsidR="00A57DDA" w:rsidRDefault="00A57DDA" w:rsidP="00A57DDA">
      <w:pPr>
        <w:pStyle w:val="af1"/>
        <w:spacing w:line="360" w:lineRule="auto"/>
        <w:ind w:left="360"/>
        <w:jc w:val="both"/>
        <w:rPr>
          <w:rFonts w:ascii="Arial" w:hAnsi="Arial"/>
          <w:noProof w:val="0"/>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בחודש דצמבר 2011 הועברו כל חשבונות הארנונה בנכס על שם הנתבע ובכך, ללא קשר לטענות בדבר טיב המסמך, הוטלו חבויות כספיות על הנתבע באשר לבניין כולו. </w:t>
      </w:r>
    </w:p>
    <w:p w:rsidR="00A57DDA" w:rsidRPr="00CE6CF6" w:rsidRDefault="00A57DDA" w:rsidP="00A57DDA">
      <w:pPr>
        <w:pStyle w:val="af1"/>
        <w:rPr>
          <w:rFonts w:ascii="Arial" w:hAnsi="Arial"/>
          <w:noProof w:val="0"/>
          <w:rtl/>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וכך כתב הנתבע בסעיף 69 לסיכומיו: </w:t>
      </w:r>
    </w:p>
    <w:p w:rsidR="00EC4FA1" w:rsidRPr="00EC4FA1" w:rsidRDefault="00EC4FA1" w:rsidP="00EC4FA1">
      <w:pPr>
        <w:spacing w:line="360" w:lineRule="auto"/>
        <w:ind w:left="360"/>
        <w:jc w:val="both"/>
        <w:rPr>
          <w:rFonts w:ascii="Arial" w:hAnsi="Arial"/>
          <w:noProof w:val="0"/>
        </w:rPr>
      </w:pPr>
      <w:r>
        <w:rPr>
          <w:rFonts w:ascii="Arial" w:hAnsi="Arial" w:hint="cs"/>
          <w:noProof w:val="0"/>
          <w:rtl/>
        </w:rPr>
        <w:t>.......</w:t>
      </w:r>
    </w:p>
    <w:p w:rsidR="00A57DDA" w:rsidRPr="00EC4FA1" w:rsidRDefault="00A57DDA" w:rsidP="00EC4FA1">
      <w:pPr>
        <w:pStyle w:val="af1"/>
        <w:rPr>
          <w:rFonts w:ascii="Arial" w:hAnsi="Arial"/>
          <w:noProof w:val="0"/>
          <w:rtl/>
        </w:rPr>
      </w:pPr>
    </w:p>
    <w:p w:rsidR="00A57DDA" w:rsidRPr="00EC4FA1" w:rsidRDefault="00A57DDA" w:rsidP="00EC4FA1">
      <w:pPr>
        <w:spacing w:line="360" w:lineRule="auto"/>
        <w:ind w:firstLine="360"/>
        <w:jc w:val="both"/>
        <w:rPr>
          <w:rFonts w:ascii="Arial" w:hAnsi="Arial"/>
          <w:noProof w:val="0"/>
        </w:rPr>
      </w:pPr>
      <w:r w:rsidRPr="00EC4FA1">
        <w:rPr>
          <w:rFonts w:ascii="Arial" w:hAnsi="Arial" w:hint="cs"/>
          <w:noProof w:val="0"/>
          <w:rtl/>
        </w:rPr>
        <w:t xml:space="preserve">עובדתית צודק הוא. </w:t>
      </w:r>
    </w:p>
    <w:p w:rsidR="00A57DDA" w:rsidRPr="00CA47C6" w:rsidRDefault="00A57DDA" w:rsidP="00A57DDA">
      <w:pPr>
        <w:pStyle w:val="af1"/>
        <w:rPr>
          <w:rFonts w:ascii="Arial" w:hAnsi="Arial"/>
          <w:noProof w:val="0"/>
          <w:rtl/>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די בכך להכניסנו לשני תחומים: </w:t>
      </w:r>
    </w:p>
    <w:p w:rsidR="00A57DDA" w:rsidRDefault="00A57DDA" w:rsidP="00A57DDA">
      <w:pPr>
        <w:pStyle w:val="af1"/>
        <w:numPr>
          <w:ilvl w:val="0"/>
          <w:numId w:val="2"/>
        </w:numPr>
        <w:spacing w:line="360" w:lineRule="auto"/>
        <w:jc w:val="both"/>
        <w:rPr>
          <w:rFonts w:ascii="Arial" w:hAnsi="Arial"/>
          <w:noProof w:val="0"/>
        </w:rPr>
      </w:pPr>
      <w:r>
        <w:rPr>
          <w:rFonts w:ascii="Arial" w:hAnsi="Arial" w:hint="cs"/>
          <w:noProof w:val="0"/>
          <w:rtl/>
        </w:rPr>
        <w:t xml:space="preserve">ראשית, לתחום הסברה המבוססת, לפיה הנתבע לא רק הסתמך על המתנה אלא גם שינה מצבו לרעה. </w:t>
      </w:r>
    </w:p>
    <w:p w:rsidR="00A57DDA" w:rsidRDefault="00A57DDA" w:rsidP="00A57DDA">
      <w:pPr>
        <w:pStyle w:val="af1"/>
        <w:numPr>
          <w:ilvl w:val="0"/>
          <w:numId w:val="2"/>
        </w:numPr>
        <w:spacing w:line="360" w:lineRule="auto"/>
        <w:jc w:val="both"/>
        <w:rPr>
          <w:rFonts w:ascii="Arial" w:hAnsi="Arial"/>
          <w:noProof w:val="0"/>
        </w:rPr>
      </w:pPr>
      <w:r>
        <w:rPr>
          <w:rFonts w:ascii="Arial" w:hAnsi="Arial" w:hint="cs"/>
          <w:noProof w:val="0"/>
          <w:rtl/>
        </w:rPr>
        <w:t xml:space="preserve">שנית, לתחום זעקת ההגינות, לאמור כי המתת לווה בהשקעה משמעותית מצד הנתבע. </w:t>
      </w:r>
    </w:p>
    <w:p w:rsidR="00A57DDA" w:rsidRPr="00357E27" w:rsidRDefault="00A57DDA" w:rsidP="00A57DDA">
      <w:pPr>
        <w:pStyle w:val="af1"/>
        <w:spacing w:line="360" w:lineRule="auto"/>
        <w:ind w:left="360"/>
        <w:jc w:val="both"/>
        <w:rPr>
          <w:rFonts w:ascii="Arial" w:hAnsi="Arial"/>
          <w:noProof w:val="0"/>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העולה מן המצטבר ובהעדר כל טענה להתנהגות מחפירה כלפי המנוחה, הוא שאין לבטל את המתנה. </w:t>
      </w:r>
    </w:p>
    <w:p w:rsidR="00A57DDA" w:rsidRDefault="00A57DDA" w:rsidP="00A57DDA">
      <w:pPr>
        <w:rPr>
          <w:rFonts w:ascii="Arial" w:hAnsi="Arial"/>
          <w:noProof w:val="0"/>
          <w:rtl/>
        </w:rPr>
      </w:pPr>
    </w:p>
    <w:p w:rsidR="00A57DDA" w:rsidRPr="00357E27" w:rsidRDefault="00A57DDA" w:rsidP="00A57DDA">
      <w:pPr>
        <w:spacing w:line="360" w:lineRule="auto"/>
        <w:rPr>
          <w:rFonts w:ascii="Arial" w:hAnsi="Arial"/>
          <w:b/>
          <w:bCs/>
          <w:noProof w:val="0"/>
          <w:u w:val="single"/>
          <w:rtl/>
        </w:rPr>
      </w:pPr>
      <w:r w:rsidRPr="00357E27">
        <w:rPr>
          <w:rFonts w:ascii="Arial" w:hAnsi="Arial" w:hint="cs"/>
          <w:b/>
          <w:bCs/>
          <w:noProof w:val="0"/>
          <w:u w:val="single"/>
          <w:rtl/>
        </w:rPr>
        <w:t>הערות נוספות</w:t>
      </w: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אומר, כי נחה דעתי שאין בטיעונים שנעשו במש"ח כדי לתמוך בגרסת התובעים. סבור אני אכן, כי המש"ח נחתם בשעתו כשהוא ריק, והתיקונים אכן נעשו אחר כך על-ידי עוה"ד, בהתאם לידיעתם טיב העסקה.</w:t>
      </w:r>
    </w:p>
    <w:p w:rsidR="00A57DDA" w:rsidRPr="00891EA6" w:rsidRDefault="00A57DDA" w:rsidP="00A57DDA">
      <w:pPr>
        <w:pStyle w:val="af1"/>
        <w:spacing w:line="360" w:lineRule="auto"/>
        <w:ind w:left="360"/>
        <w:jc w:val="both"/>
        <w:rPr>
          <w:rFonts w:ascii="Arial" w:hAnsi="Arial"/>
          <w:noProof w:val="0"/>
        </w:rPr>
      </w:pPr>
    </w:p>
    <w:p w:rsidR="00A57DDA" w:rsidRPr="00891EA6"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סבור אני בשנית, כי המנוחה, אשר דיברה עברית כפי דורה, התייחסה במילה "בית", להבדיל מדירה, לבניין כולו, </w:t>
      </w:r>
      <w:r w:rsidRPr="00891EA6">
        <w:rPr>
          <w:rFonts w:ascii="Arial" w:hAnsi="Arial" w:hint="cs"/>
          <w:noProof w:val="0"/>
          <w:rtl/>
        </w:rPr>
        <w:t xml:space="preserve">וראה שטר העברת הדירה למנוחה מאמה, גם שם נזכר הנכס כבית. </w:t>
      </w:r>
    </w:p>
    <w:p w:rsidR="00A57DDA" w:rsidRPr="00891EA6" w:rsidRDefault="00A57DDA" w:rsidP="00A57DDA">
      <w:pPr>
        <w:pStyle w:val="af1"/>
        <w:spacing w:line="360" w:lineRule="auto"/>
        <w:ind w:left="360"/>
        <w:jc w:val="both"/>
        <w:rPr>
          <w:rFonts w:ascii="Arial" w:hAnsi="Arial"/>
          <w:noProof w:val="0"/>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אחזור ואזכיר את הידוע לכל, ולפיו נטל הראיה מוטל על המוציא מחברו </w:t>
      </w:r>
      <w:r>
        <w:rPr>
          <w:rFonts w:ascii="Arial" w:hAnsi="Arial"/>
          <w:noProof w:val="0"/>
          <w:rtl/>
        </w:rPr>
        <w:t>–</w:t>
      </w:r>
      <w:r>
        <w:rPr>
          <w:rFonts w:ascii="Arial" w:hAnsi="Arial" w:hint="cs"/>
          <w:noProof w:val="0"/>
          <w:rtl/>
        </w:rPr>
        <w:t xml:space="preserve"> קרי, התובעים. </w:t>
      </w:r>
    </w:p>
    <w:p w:rsidR="00A57DDA" w:rsidRPr="00357E27" w:rsidRDefault="00A57DDA" w:rsidP="00A57DDA">
      <w:pPr>
        <w:pStyle w:val="af1"/>
        <w:rPr>
          <w:rFonts w:ascii="Arial" w:hAnsi="Arial"/>
          <w:noProof w:val="0"/>
          <w:rtl/>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כך, ניסה הנתבע לרכז את הדברים בסיכומיו, מסעיף 46 ואילך: </w:t>
      </w:r>
    </w:p>
    <w:p w:rsidR="00EC4FA1" w:rsidRPr="00EC4FA1" w:rsidRDefault="00EC4FA1" w:rsidP="00EC4FA1">
      <w:pPr>
        <w:spacing w:line="360" w:lineRule="auto"/>
        <w:ind w:left="360"/>
        <w:jc w:val="both"/>
        <w:rPr>
          <w:rFonts w:ascii="Arial" w:hAnsi="Arial"/>
          <w:noProof w:val="0"/>
        </w:rPr>
      </w:pPr>
      <w:r>
        <w:rPr>
          <w:rFonts w:ascii="Arial" w:hAnsi="Arial" w:hint="cs"/>
          <w:noProof w:val="0"/>
          <w:rtl/>
        </w:rPr>
        <w:t>...........</w:t>
      </w:r>
    </w:p>
    <w:p w:rsidR="00A57DDA" w:rsidRDefault="00A57DDA" w:rsidP="00A57DDA">
      <w:pPr>
        <w:pStyle w:val="af1"/>
        <w:rPr>
          <w:rFonts w:ascii="Arial" w:hAnsi="Arial"/>
          <w:noProof w:val="0"/>
          <w:rtl/>
        </w:rPr>
      </w:pPr>
    </w:p>
    <w:p w:rsidR="00A57DDA" w:rsidRDefault="00A57DDA" w:rsidP="00A57DDA">
      <w:pPr>
        <w:pStyle w:val="af1"/>
        <w:rPr>
          <w:rFonts w:ascii="Arial" w:hAnsi="Arial"/>
          <w:noProof w:val="0"/>
          <w:rtl/>
        </w:rPr>
      </w:pPr>
    </w:p>
    <w:p w:rsidR="00A57DDA" w:rsidRDefault="00A57DDA" w:rsidP="00A57DDA">
      <w:pPr>
        <w:pStyle w:val="af1"/>
        <w:rPr>
          <w:rFonts w:ascii="Arial" w:hAnsi="Arial"/>
          <w:noProof w:val="0"/>
          <w:rtl/>
        </w:rPr>
      </w:pPr>
    </w:p>
    <w:p w:rsidR="00A57DDA" w:rsidRDefault="00A57DDA" w:rsidP="00A57DDA">
      <w:pPr>
        <w:pStyle w:val="af1"/>
        <w:rPr>
          <w:rFonts w:ascii="Arial" w:hAnsi="Arial"/>
          <w:noProof w:val="0"/>
          <w:rtl/>
        </w:rPr>
      </w:pPr>
    </w:p>
    <w:p w:rsidR="00A57DDA" w:rsidRPr="001C65D9" w:rsidRDefault="00A57DDA" w:rsidP="00A57DDA">
      <w:pPr>
        <w:rPr>
          <w:rFonts w:ascii="Arial" w:hAnsi="Arial"/>
          <w:noProof w:val="0"/>
          <w:rtl/>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צר לי, אך בהתעלם מן הנוסח הבוטה, אזי במהות צודק הנתבע, וקיבלתי את הרושם כי עדות התובעים היא בלתי מהימנה ולמעלה מכך. </w:t>
      </w:r>
    </w:p>
    <w:p w:rsidR="00A57DDA" w:rsidRDefault="00A57DDA" w:rsidP="00A57DDA">
      <w:pPr>
        <w:spacing w:line="360" w:lineRule="auto"/>
        <w:jc w:val="both"/>
        <w:rPr>
          <w:rFonts w:ascii="Arial" w:hAnsi="Arial"/>
          <w:noProof w:val="0"/>
          <w:rtl/>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בתיק קשור התברר כי התובע חבר לאחר וניסה להבריח נכס שבמחלוקת </w:t>
      </w:r>
      <w:r>
        <w:rPr>
          <w:rFonts w:ascii="Arial" w:hAnsi="Arial"/>
          <w:noProof w:val="0"/>
          <w:rtl/>
        </w:rPr>
        <w:t>–</w:t>
      </w:r>
      <w:r>
        <w:rPr>
          <w:rFonts w:ascii="Arial" w:hAnsi="Arial" w:hint="cs"/>
          <w:noProof w:val="0"/>
          <w:rtl/>
        </w:rPr>
        <w:t xml:space="preserve"> הדבר גם הוא פוגע במהימנות התובעים. </w:t>
      </w:r>
    </w:p>
    <w:p w:rsidR="00A57DDA" w:rsidRDefault="00A57DDA" w:rsidP="00A57DDA">
      <w:pPr>
        <w:pStyle w:val="af1"/>
        <w:spacing w:line="360" w:lineRule="auto"/>
        <w:ind w:left="360"/>
        <w:jc w:val="both"/>
        <w:rPr>
          <w:rFonts w:ascii="Arial" w:hAnsi="Arial"/>
          <w:noProof w:val="0"/>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אמר בית המשפט העליון אגב </w:t>
      </w:r>
      <w:r w:rsidRPr="001C65D9">
        <w:rPr>
          <w:rFonts w:ascii="Arial" w:hAnsi="Arial" w:hint="cs"/>
          <w:noProof w:val="0"/>
          <w:rtl/>
        </w:rPr>
        <w:t xml:space="preserve">ע"א 6460/21 </w:t>
      </w:r>
      <w:r w:rsidRPr="00AB65C8">
        <w:rPr>
          <w:rFonts w:ascii="Arial" w:hAnsi="Arial" w:hint="cs"/>
          <w:b/>
          <w:bCs/>
          <w:noProof w:val="0"/>
          <w:rtl/>
        </w:rPr>
        <w:t>פרץ נ' כהן</w:t>
      </w:r>
      <w:r>
        <w:rPr>
          <w:rFonts w:ascii="Arial" w:hAnsi="Arial" w:hint="cs"/>
          <w:b/>
          <w:bCs/>
          <w:noProof w:val="0"/>
          <w:rtl/>
        </w:rPr>
        <w:t xml:space="preserve"> </w:t>
      </w:r>
      <w:r w:rsidRPr="00CE3EF4">
        <w:rPr>
          <w:rFonts w:ascii="Arial" w:hAnsi="Arial" w:hint="cs"/>
          <w:noProof w:val="0"/>
          <w:rtl/>
        </w:rPr>
        <w:t xml:space="preserve">(פמ"מ </w:t>
      </w:r>
      <w:r w:rsidRPr="00CE3EF4">
        <w:rPr>
          <w:rFonts w:ascii="Arial" w:hAnsi="Arial"/>
          <w:noProof w:val="0"/>
          <w:rtl/>
        </w:rPr>
        <w:t>–</w:t>
      </w:r>
      <w:r w:rsidRPr="00CE3EF4">
        <w:rPr>
          <w:rFonts w:ascii="Arial" w:hAnsi="Arial" w:hint="cs"/>
          <w:noProof w:val="0"/>
          <w:rtl/>
        </w:rPr>
        <w:t xml:space="preserve"> 18.06.2023),</w:t>
      </w:r>
      <w:r>
        <w:rPr>
          <w:rFonts w:ascii="Arial" w:hAnsi="Arial" w:hint="cs"/>
          <w:noProof w:val="0"/>
          <w:rtl/>
        </w:rPr>
        <w:t xml:space="preserve"> כי בעל דין אשר שינה בעדותו, או הסתיר מבית המשפט, ביודעין, ראיה חשובה </w:t>
      </w:r>
      <w:r>
        <w:rPr>
          <w:rFonts w:ascii="Arial" w:hAnsi="Arial"/>
          <w:noProof w:val="0"/>
          <w:rtl/>
        </w:rPr>
        <w:t>–</w:t>
      </w:r>
      <w:r>
        <w:rPr>
          <w:rFonts w:ascii="Arial" w:hAnsi="Arial" w:hint="cs"/>
          <w:noProof w:val="0"/>
          <w:rtl/>
        </w:rPr>
        <w:t xml:space="preserve"> יפעל הדבר לחובתו; בעל דין שטענותיו העובדתיות ביחס לעילת התביעה או ההגנה נמצאו בלתי מוכחות במאזן הסבירות, טענותיו תדחנה. </w:t>
      </w:r>
    </w:p>
    <w:p w:rsidR="00A57DDA" w:rsidRPr="00C3250C" w:rsidRDefault="00A57DDA" w:rsidP="00A57DDA">
      <w:pPr>
        <w:pStyle w:val="af1"/>
        <w:rPr>
          <w:rFonts w:ascii="Arial" w:hAnsi="Arial"/>
          <w:noProof w:val="0"/>
          <w:rtl/>
        </w:rPr>
      </w:pPr>
    </w:p>
    <w:p w:rsidR="00A57DDA" w:rsidRPr="00AC704C"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שווי התובענה במיליונים רבים והדבר משליך כמובן גם הוא, בנוסף למיצוי ההליכים כמתואר לעיל, על סוגיית ההוצאות (וראה: בג"ץ 891/05 </w:t>
      </w:r>
      <w:r>
        <w:rPr>
          <w:rFonts w:ascii="Arial" w:hAnsi="Arial"/>
          <w:b/>
          <w:bCs/>
          <w:noProof w:val="0"/>
          <w:rtl/>
        </w:rPr>
        <w:t>תנובה</w:t>
      </w:r>
      <w:r>
        <w:rPr>
          <w:rFonts w:ascii="Arial" w:hAnsi="Arial" w:hint="cs"/>
          <w:noProof w:val="0"/>
          <w:rtl/>
        </w:rPr>
        <w:t xml:space="preserve"> </w:t>
      </w:r>
      <w:r w:rsidRPr="00AC704C">
        <w:rPr>
          <w:rFonts w:ascii="Arial" w:hAnsi="Arial" w:hint="cs"/>
          <w:b/>
          <w:bCs/>
          <w:noProof w:val="0"/>
          <w:rtl/>
        </w:rPr>
        <w:t>נ'</w:t>
      </w:r>
      <w:r>
        <w:rPr>
          <w:rFonts w:ascii="Arial" w:hAnsi="Arial" w:hint="cs"/>
          <w:noProof w:val="0"/>
          <w:rtl/>
        </w:rPr>
        <w:t xml:space="preserve"> </w:t>
      </w:r>
      <w:r w:rsidRPr="00AC704C">
        <w:rPr>
          <w:rFonts w:ascii="Arial" w:hAnsi="Arial"/>
          <w:b/>
          <w:bCs/>
          <w:noProof w:val="0"/>
          <w:rtl/>
        </w:rPr>
        <w:t>הרשות המוסכמת למתן</w:t>
      </w:r>
      <w:r>
        <w:rPr>
          <w:rFonts w:ascii="Arial" w:hAnsi="Arial"/>
          <w:b/>
          <w:bCs/>
          <w:noProof w:val="0"/>
          <w:rtl/>
        </w:rPr>
        <w:t xml:space="preserve"> רשיונות יבוא-משרד התעשיה</w:t>
      </w:r>
      <w:r w:rsidRPr="00AC704C">
        <w:rPr>
          <w:rFonts w:ascii="Arial" w:hAnsi="Arial" w:hint="cs"/>
          <w:noProof w:val="0"/>
          <w:rtl/>
        </w:rPr>
        <w:t xml:space="preserve"> {פמ"מ </w:t>
      </w:r>
      <w:r w:rsidRPr="00AC704C">
        <w:rPr>
          <w:rFonts w:ascii="Arial" w:hAnsi="Arial"/>
          <w:noProof w:val="0"/>
          <w:rtl/>
        </w:rPr>
        <w:t>–</w:t>
      </w:r>
      <w:r w:rsidRPr="00AC704C">
        <w:rPr>
          <w:rFonts w:ascii="Arial" w:hAnsi="Arial" w:hint="cs"/>
          <w:noProof w:val="0"/>
          <w:rtl/>
        </w:rPr>
        <w:t xml:space="preserve"> 30.06.2005}).</w:t>
      </w:r>
    </w:p>
    <w:p w:rsidR="00A57DDA" w:rsidRPr="00C3250C" w:rsidRDefault="00A57DDA" w:rsidP="00A57DDA">
      <w:pPr>
        <w:pStyle w:val="af1"/>
        <w:rPr>
          <w:rFonts w:ascii="Arial" w:hAnsi="Arial"/>
          <w:noProof w:val="0"/>
          <w:rtl/>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די אפוא באמור לעיל על-מנת לדחות התובענה, גם ללא צורך דיון בשאלות נוספות. </w:t>
      </w:r>
    </w:p>
    <w:p w:rsidR="00A57DDA" w:rsidRDefault="00A57DDA" w:rsidP="00A57DDA">
      <w:pPr>
        <w:rPr>
          <w:rFonts w:ascii="Arial" w:hAnsi="Arial"/>
          <w:noProof w:val="0"/>
          <w:rtl/>
        </w:rPr>
      </w:pPr>
    </w:p>
    <w:p w:rsidR="00A57DDA" w:rsidRPr="00C3250C" w:rsidRDefault="00A57DDA" w:rsidP="00A57DDA">
      <w:pPr>
        <w:spacing w:line="360" w:lineRule="auto"/>
        <w:rPr>
          <w:rFonts w:ascii="Arial" w:hAnsi="Arial"/>
          <w:b/>
          <w:bCs/>
          <w:noProof w:val="0"/>
          <w:u w:val="single"/>
          <w:rtl/>
        </w:rPr>
      </w:pPr>
      <w:r w:rsidRPr="00C3250C">
        <w:rPr>
          <w:rFonts w:ascii="Arial" w:hAnsi="Arial" w:hint="cs"/>
          <w:b/>
          <w:bCs/>
          <w:noProof w:val="0"/>
          <w:u w:val="single"/>
          <w:rtl/>
        </w:rPr>
        <w:t>סוף דבר</w:t>
      </w: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התובענה נדחית. </w:t>
      </w:r>
    </w:p>
    <w:p w:rsidR="00A57DDA" w:rsidRPr="00AB65C8" w:rsidRDefault="00A57DDA" w:rsidP="00A57DDA">
      <w:pPr>
        <w:pStyle w:val="af1"/>
        <w:spacing w:line="360" w:lineRule="auto"/>
        <w:ind w:left="360"/>
        <w:jc w:val="both"/>
        <w:rPr>
          <w:rFonts w:ascii="Arial" w:hAnsi="Arial"/>
          <w:noProof w:val="0"/>
          <w:sz w:val="14"/>
          <w:szCs w:val="14"/>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התובעים יישאו בהוצאות הנתבע בסך 110,000 ₪. </w:t>
      </w:r>
    </w:p>
    <w:p w:rsidR="00A57DDA" w:rsidRPr="00C3250C" w:rsidRDefault="00A57DDA" w:rsidP="00A57DDA">
      <w:pPr>
        <w:pStyle w:val="af1"/>
        <w:rPr>
          <w:rFonts w:ascii="Arial" w:hAnsi="Arial"/>
          <w:noProof w:val="0"/>
          <w:rtl/>
        </w:rPr>
      </w:pPr>
    </w:p>
    <w:p w:rsidR="00A57DDA" w:rsidRDefault="00A57DDA" w:rsidP="00A57DDA">
      <w:pPr>
        <w:pStyle w:val="af1"/>
        <w:numPr>
          <w:ilvl w:val="0"/>
          <w:numId w:val="1"/>
        </w:numPr>
        <w:spacing w:line="360" w:lineRule="auto"/>
        <w:jc w:val="both"/>
        <w:rPr>
          <w:rFonts w:ascii="Arial" w:hAnsi="Arial"/>
          <w:noProof w:val="0"/>
        </w:rPr>
      </w:pPr>
      <w:r>
        <w:rPr>
          <w:rFonts w:ascii="Arial" w:hAnsi="Arial" w:hint="cs"/>
          <w:noProof w:val="0"/>
          <w:rtl/>
        </w:rPr>
        <w:t xml:space="preserve">אני מתיר פרסום פסק דיני זה, ללא פרט מזהה כלשהו אודות הצדדים. </w:t>
      </w:r>
    </w:p>
    <w:p w:rsidR="00A57DDA" w:rsidRPr="00C3250C" w:rsidRDefault="00A57DDA" w:rsidP="00A57DDA">
      <w:pPr>
        <w:pStyle w:val="af1"/>
        <w:rPr>
          <w:rFonts w:ascii="Arial" w:hAnsi="Arial"/>
          <w:noProof w:val="0"/>
          <w:rtl/>
        </w:rPr>
      </w:pPr>
    </w:p>
    <w:p w:rsidR="00A57DDA" w:rsidRPr="00C3250C" w:rsidRDefault="00A57DDA" w:rsidP="00A57DDA">
      <w:pPr>
        <w:pStyle w:val="af1"/>
        <w:numPr>
          <w:ilvl w:val="0"/>
          <w:numId w:val="1"/>
        </w:numPr>
        <w:spacing w:line="360" w:lineRule="auto"/>
        <w:jc w:val="both"/>
        <w:rPr>
          <w:rFonts w:ascii="Arial" w:hAnsi="Arial"/>
          <w:b/>
          <w:bCs/>
          <w:noProof w:val="0"/>
        </w:rPr>
      </w:pPr>
      <w:r w:rsidRPr="00C3250C">
        <w:rPr>
          <w:rFonts w:ascii="Arial" w:hAnsi="Arial" w:hint="cs"/>
          <w:b/>
          <w:bCs/>
          <w:noProof w:val="0"/>
          <w:u w:val="single"/>
          <w:rtl/>
        </w:rPr>
        <w:t>המזכירות תסגור את התיק</w:t>
      </w:r>
      <w:r w:rsidRPr="00C3250C">
        <w:rPr>
          <w:rFonts w:ascii="Arial" w:hAnsi="Arial" w:hint="cs"/>
          <w:b/>
          <w:bCs/>
          <w:noProof w:val="0"/>
          <w:rtl/>
        </w:rPr>
        <w:t xml:space="preserve">. </w:t>
      </w:r>
    </w:p>
    <w:p w:rsidR="00A57DDA" w:rsidRPr="00C3250C" w:rsidRDefault="00A57DDA" w:rsidP="00A57DDA">
      <w:pPr>
        <w:pStyle w:val="af1"/>
        <w:rPr>
          <w:rFonts w:ascii="Arial" w:hAnsi="Arial"/>
          <w:noProof w:val="0"/>
          <w:rtl/>
        </w:rPr>
      </w:pPr>
    </w:p>
    <w:p w:rsidR="00A57DDA" w:rsidRDefault="00A57DDA" w:rsidP="00A57DDA">
      <w:pPr>
        <w:spacing w:line="360" w:lineRule="auto"/>
        <w:jc w:val="both"/>
        <w:rPr>
          <w:rFonts w:ascii="Arial" w:hAnsi="Arial"/>
          <w:noProof w:val="0"/>
          <w:rtl/>
        </w:rPr>
      </w:pPr>
    </w:p>
    <w:p w:rsidR="00A57DDA" w:rsidRPr="00AB65C8" w:rsidRDefault="00A57DDA" w:rsidP="00A57DDA">
      <w:pPr>
        <w:spacing w:line="360" w:lineRule="auto"/>
        <w:jc w:val="both"/>
        <w:rPr>
          <w:rFonts w:ascii="Arial" w:hAnsi="Arial"/>
          <w:b/>
          <w:bCs/>
          <w:noProof w:val="0"/>
          <w:rtl/>
        </w:rPr>
      </w:pPr>
      <w:r w:rsidRPr="00AB65C8">
        <w:rPr>
          <w:rFonts w:ascii="Arial" w:hAnsi="Arial"/>
          <w:b/>
          <w:bCs/>
          <w:noProof w:val="0"/>
          <w:rtl/>
        </w:rPr>
        <w:t xml:space="preserve">ניתן היום,  </w:t>
      </w:r>
      <w:sdt>
        <w:sdtPr>
          <w:rPr>
            <w:b/>
            <w:bCs/>
            <w:rtl/>
          </w:rPr>
          <w:alias w:val="1455"/>
          <w:tag w:val="1455"/>
          <w:id w:val="-1784405537"/>
          <w:text w:multiLine="1"/>
        </w:sdtPr>
        <w:sdtEndPr/>
        <w:sdtContent>
          <w:r>
            <w:rPr>
              <w:rFonts w:ascii="Arial" w:hAnsi="Arial" w:hint="cs"/>
              <w:b/>
              <w:bCs/>
              <w:noProof w:val="0"/>
              <w:rtl/>
            </w:rPr>
            <w:t>כ"ט אב תשפ"ג</w:t>
          </w:r>
        </w:sdtContent>
      </w:sdt>
      <w:r w:rsidRPr="00AB65C8">
        <w:rPr>
          <w:rFonts w:ascii="Arial" w:hAnsi="Arial"/>
          <w:b/>
          <w:bCs/>
          <w:noProof w:val="0"/>
          <w:rtl/>
        </w:rPr>
        <w:t xml:space="preserve">, </w:t>
      </w:r>
      <w:sdt>
        <w:sdtPr>
          <w:rPr>
            <w:b/>
            <w:bCs/>
            <w:rtl/>
          </w:rPr>
          <w:alias w:val="1456"/>
          <w:tag w:val="1456"/>
          <w:id w:val="-1133865600"/>
          <w:text w:multiLine="1"/>
        </w:sdtPr>
        <w:sdtEndPr/>
        <w:sdtContent>
          <w:r>
            <w:rPr>
              <w:rFonts w:ascii="Arial" w:hAnsi="Arial" w:hint="cs"/>
              <w:b/>
              <w:bCs/>
              <w:noProof w:val="0"/>
              <w:rtl/>
            </w:rPr>
            <w:t>16 אוגוסט 2023</w:t>
          </w:r>
        </w:sdtContent>
      </w:sdt>
      <w:r w:rsidRPr="00AB65C8">
        <w:rPr>
          <w:rFonts w:ascii="Arial" w:hAnsi="Arial"/>
          <w:b/>
          <w:bCs/>
          <w:noProof w:val="0"/>
          <w:rtl/>
        </w:rPr>
        <w:t>, בהעדר הצדדים.</w:t>
      </w:r>
    </w:p>
    <w:p w:rsidR="00A57DDA" w:rsidRDefault="00A57DDA" w:rsidP="00A57DDA">
      <w:pPr>
        <w:spacing w:line="360" w:lineRule="auto"/>
        <w:jc w:val="both"/>
        <w:rPr>
          <w:rFonts w:ascii="Arial" w:hAnsi="Arial"/>
          <w:noProof w:val="0"/>
          <w:rtl/>
        </w:rPr>
      </w:pPr>
    </w:p>
    <w:p w:rsidR="00A57DDA" w:rsidRDefault="00660407" w:rsidP="00A57DDA">
      <w:pPr>
        <w:spacing w:line="360" w:lineRule="auto"/>
        <w:ind w:left="3600" w:firstLine="720"/>
        <w:jc w:val="both"/>
      </w:pPr>
      <w:sdt>
        <w:sdtPr>
          <w:rPr>
            <w:rtl/>
          </w:rPr>
          <w:alias w:val="MergeField"/>
          <w:tag w:val="1237"/>
          <w:id w:val="1530906952"/>
        </w:sdtPr>
        <w:sdtEndPr/>
        <w:sdtContent>
          <w:r w:rsidR="00A57DDA">
            <w:drawing>
              <wp:inline distT="0" distB="0" distL="0" distR="0" wp14:anchorId="41FE3838" wp14:editId="50BF8420">
                <wp:extent cx="1933574" cy="7620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5" cstate="print">
                          <a:extLst/>
                        </a:blip>
                        <a:stretch>
                          <a:fillRect/>
                        </a:stretch>
                      </pic:blipFill>
                      <pic:spPr>
                        <a:xfrm>
                          <a:off x="0" y="0"/>
                          <a:ext cx="1933574" cy="762000"/>
                        </a:xfrm>
                        <a:prstGeom prst="rect">
                          <a:avLst/>
                        </a:prstGeom>
                      </pic:spPr>
                    </pic:pic>
                  </a:graphicData>
                </a:graphic>
              </wp:inline>
            </w:drawing>
          </w:r>
        </w:sdtContent>
      </w:sdt>
    </w:p>
    <w:p w:rsidR="00A57DDA" w:rsidRDefault="00A57DDA" w:rsidP="00A57DDA">
      <w:pPr>
        <w:spacing w:line="360" w:lineRule="auto"/>
        <w:ind w:left="3600" w:firstLine="720"/>
        <w:jc w:val="both"/>
        <w:rPr>
          <w:rFonts w:ascii="Arial" w:hAnsi="Arial"/>
          <w:noProof w:val="0"/>
          <w:rtl/>
        </w:rPr>
      </w:pPr>
    </w:p>
    <w:p w:rsidR="003F1FE4" w:rsidRPr="00A57DDA" w:rsidRDefault="003F1FE4" w:rsidP="00A57DDA">
      <w:pPr>
        <w:spacing w:line="360" w:lineRule="auto"/>
        <w:jc w:val="both"/>
        <w:rPr>
          <w:rFonts w:ascii="David" w:hAnsi="David"/>
        </w:rPr>
      </w:pPr>
    </w:p>
    <w:sectPr w:rsidR="003F1FE4" w:rsidRPr="00A57DDA" w:rsidSect="00BE001A">
      <w:headerReference w:type="even" r:id="rId16"/>
      <w:headerReference w:type="default" r:id="rId17"/>
      <w:footerReference w:type="even" r:id="rId18"/>
      <w:footerReference w:type="default" r:id="rId19"/>
      <w:headerReference w:type="first" r:id="rId20"/>
      <w:footerReference w:type="first" r:id="rId21"/>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0407" w:rsidRDefault="00660407" w:rsidP="004D17E0">
      <w:r>
        <w:separator/>
      </w:r>
    </w:p>
  </w:endnote>
  <w:endnote w:type="continuationSeparator" w:id="0">
    <w:p w:rsidR="00660407" w:rsidRDefault="00660407" w:rsidP="004D1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Times-Roman">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A71" w:rsidRDefault="00E23A71">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3E330F">
    <w:pPr>
      <w:pStyle w:val="a5"/>
      <w:jc w:val="center"/>
      <w:rPr>
        <w:rStyle w:val="af"/>
      </w:rPr>
    </w:pPr>
    <w:r>
      <w:rPr>
        <w:rStyle w:val="af"/>
      </w:rPr>
      <w:fldChar w:fldCharType="begin"/>
    </w:r>
    <w:r>
      <w:rPr>
        <w:rStyle w:val="af"/>
      </w:rPr>
      <w:instrText xml:space="preserve"> PAGE </w:instrText>
    </w:r>
    <w:r>
      <w:rPr>
        <w:rStyle w:val="af"/>
      </w:rPr>
      <w:fldChar w:fldCharType="separate"/>
    </w:r>
    <w:r w:rsidR="00E23A71">
      <w:rPr>
        <w:rStyle w:val="af"/>
        <w:rtl/>
      </w:rPr>
      <w:t>1</w:t>
    </w:r>
    <w:r>
      <w:rPr>
        <w:rStyle w:val="af"/>
      </w:rPr>
      <w:fldChar w:fldCharType="end"/>
    </w:r>
    <w:r>
      <w:rPr>
        <w:rStyle w:val="af"/>
        <w:rFonts w:hint="cs"/>
        <w:rtl/>
      </w:rPr>
      <w:t xml:space="preserve"> מתוך </w:t>
    </w:r>
    <w:r>
      <w:rPr>
        <w:rStyle w:val="af"/>
      </w:rPr>
      <w:fldChar w:fldCharType="begin"/>
    </w:r>
    <w:r>
      <w:rPr>
        <w:rStyle w:val="af"/>
      </w:rPr>
      <w:instrText xml:space="preserve"> NUMPAGES </w:instrText>
    </w:r>
    <w:r>
      <w:rPr>
        <w:rStyle w:val="af"/>
      </w:rPr>
      <w:fldChar w:fldCharType="separate"/>
    </w:r>
    <w:r w:rsidR="00E23A71">
      <w:rPr>
        <w:rStyle w:val="af"/>
        <w:rtl/>
      </w:rPr>
      <w:t>34</w:t>
    </w:r>
    <w:r>
      <w:rPr>
        <w:rStyle w:val="a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A71" w:rsidRDefault="00E23A7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0407" w:rsidRDefault="00660407" w:rsidP="004D17E0">
      <w:r>
        <w:separator/>
      </w:r>
    </w:p>
  </w:footnote>
  <w:footnote w:type="continuationSeparator" w:id="0">
    <w:p w:rsidR="00660407" w:rsidRDefault="00660407" w:rsidP="004D1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A71" w:rsidRDefault="00E23A7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3E330F">
    <w:pPr>
      <w:pStyle w:val="a3"/>
      <w:jc w:val="center"/>
      <w:rPr>
        <w:rFonts w:cs="FrankRuehl"/>
        <w:noProof w:val="0"/>
        <w:sz w:val="28"/>
        <w:szCs w:val="28"/>
        <w:rtl/>
      </w:rPr>
    </w:pPr>
    <w:bookmarkStart w:id="1" w:name="_GoBack"/>
    <w:bookmarkEnd w:id="1"/>
    <w:r>
      <w:rPr>
        <w:rFonts w:cs="FrankRuehl"/>
        <w:sz w:val="28"/>
        <w:szCs w:val="28"/>
      </w:rPr>
      <w:drawing>
        <wp:inline distT="0" distB="0" distL="0" distR="0" wp14:anchorId="2A9ADFFF" wp14:editId="12900EAF">
          <wp:extent cx="374015" cy="469265"/>
          <wp:effectExtent l="0" t="0" r="6985" b="6985"/>
          <wp:docPr id="1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3E330F">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660407">
          <w:pPr>
            <w:rPr>
              <w:b/>
              <w:bCs/>
              <w:noProof w:val="0"/>
              <w:sz w:val="26"/>
              <w:szCs w:val="26"/>
              <w:rtl/>
            </w:rPr>
          </w:pPr>
        </w:p>
      </w:tc>
      <w:tc>
        <w:tcPr>
          <w:tcW w:w="3674" w:type="dxa"/>
        </w:tcPr>
        <w:p w:rsidR="002914D6" w:rsidRDefault="00660407">
          <w:pPr>
            <w:pStyle w:val="a3"/>
            <w:jc w:val="right"/>
            <w:rPr>
              <w:b/>
              <w:bCs/>
              <w:noProof w:val="0"/>
              <w:sz w:val="26"/>
              <w:szCs w:val="26"/>
              <w:rtl/>
            </w:rPr>
          </w:pPr>
        </w:p>
      </w:tc>
    </w:tr>
    <w:tr w:rsidR="002914D6">
      <w:trPr>
        <w:trHeight w:val="337"/>
        <w:jc w:val="center"/>
      </w:trPr>
      <w:tc>
        <w:tcPr>
          <w:tcW w:w="8721" w:type="dxa"/>
          <w:gridSpan w:val="2"/>
        </w:tcPr>
        <w:p w:rsidR="002914D6" w:rsidRDefault="00660407">
          <w:pPr>
            <w:rPr>
              <w:rtl/>
            </w:rPr>
          </w:pPr>
          <w:sdt>
            <w:sdtPr>
              <w:rPr>
                <w:rtl/>
              </w:rPr>
              <w:alias w:val="1170"/>
              <w:tag w:val="1170"/>
              <w:id w:val="-984775694"/>
              <w:text w:multiLine="1"/>
            </w:sdtPr>
            <w:sdtEndPr/>
            <w:sdtContent>
              <w:r w:rsidR="003E330F">
                <w:rPr>
                  <w:b/>
                  <w:bCs/>
                  <w:noProof w:val="0"/>
                  <w:sz w:val="26"/>
                  <w:szCs w:val="26"/>
                  <w:rtl/>
                </w:rPr>
                <w:t>תמ"ש</w:t>
              </w:r>
            </w:sdtContent>
          </w:sdt>
          <w:r w:rsidR="003E330F">
            <w:rPr>
              <w:b/>
              <w:bCs/>
              <w:noProof w:val="0"/>
              <w:sz w:val="26"/>
              <w:szCs w:val="26"/>
              <w:rtl/>
            </w:rPr>
            <w:t xml:space="preserve"> </w:t>
          </w:r>
          <w:sdt>
            <w:sdtPr>
              <w:rPr>
                <w:rtl/>
              </w:rPr>
              <w:alias w:val="1171"/>
              <w:tag w:val="1171"/>
              <w:id w:val="1025217868"/>
              <w:text w:multiLine="1"/>
            </w:sdtPr>
            <w:sdtEndPr/>
            <w:sdtContent>
              <w:r w:rsidR="003E330F">
                <w:rPr>
                  <w:b/>
                  <w:bCs/>
                  <w:noProof w:val="0"/>
                  <w:sz w:val="26"/>
                  <w:szCs w:val="26"/>
                  <w:rtl/>
                </w:rPr>
                <w:t>38830-09-16</w:t>
              </w:r>
            </w:sdtContent>
          </w:sdt>
          <w:r w:rsidR="003E330F">
            <w:rPr>
              <w:b/>
              <w:bCs/>
              <w:noProof w:val="0"/>
              <w:sz w:val="26"/>
              <w:szCs w:val="26"/>
              <w:rtl/>
            </w:rPr>
            <w:t xml:space="preserve"> </w:t>
          </w:r>
          <w:sdt>
            <w:sdtPr>
              <w:rPr>
                <w:rtl/>
              </w:rPr>
              <w:alias w:val="1172"/>
              <w:tag w:val="1172"/>
              <w:id w:val="-673653942"/>
              <w:text w:multiLine="1"/>
            </w:sdtPr>
            <w:sdtEndPr/>
            <w:sdtContent>
              <w:r w:rsidR="004D17E0">
                <w:rPr>
                  <w:b/>
                  <w:bCs/>
                  <w:noProof w:val="0"/>
                  <w:sz w:val="26"/>
                  <w:szCs w:val="26"/>
                  <w:rtl/>
                </w:rPr>
                <w:t>ע</w:t>
              </w:r>
              <w:r w:rsidR="004D17E0">
                <w:rPr>
                  <w:rFonts w:hint="cs"/>
                  <w:b/>
                  <w:bCs/>
                  <w:noProof w:val="0"/>
                  <w:sz w:val="26"/>
                  <w:szCs w:val="26"/>
                  <w:rtl/>
                </w:rPr>
                <w:t>.</w:t>
              </w:r>
              <w:r w:rsidR="004D17E0">
                <w:rPr>
                  <w:b/>
                  <w:bCs/>
                  <w:noProof w:val="0"/>
                  <w:sz w:val="26"/>
                  <w:szCs w:val="26"/>
                  <w:rtl/>
                </w:rPr>
                <w:t xml:space="preserve"> ואח' נ' ע</w:t>
              </w:r>
              <w:r w:rsidR="004D17E0">
                <w:rPr>
                  <w:rFonts w:hint="cs"/>
                  <w:b/>
                  <w:bCs/>
                  <w:noProof w:val="0"/>
                  <w:sz w:val="26"/>
                  <w:szCs w:val="26"/>
                  <w:rtl/>
                </w:rPr>
                <w:t>.</w:t>
              </w:r>
              <w:r w:rsidR="003E330F">
                <w:rPr>
                  <w:b/>
                  <w:bCs/>
                  <w:noProof w:val="0"/>
                  <w:sz w:val="26"/>
                  <w:szCs w:val="26"/>
                  <w:rtl/>
                </w:rPr>
                <w:t xml:space="preserve"> ואח'</w:t>
              </w:r>
            </w:sdtContent>
          </w:sdt>
        </w:p>
        <w:p w:rsidR="00E54225" w:rsidRDefault="00660407">
          <w:pPr>
            <w:rPr>
              <w:b/>
              <w:bCs/>
              <w:rtl/>
            </w:rPr>
          </w:pPr>
        </w:p>
        <w:p w:rsidR="002914D6" w:rsidRDefault="003E330F" w:rsidP="00E54225">
          <w:pPr>
            <w:spacing w:line="360" w:lineRule="auto"/>
            <w:rPr>
              <w:rtl/>
            </w:rPr>
          </w:pPr>
          <w:r w:rsidRPr="00E54225">
            <w:rPr>
              <w:rFonts w:hint="cs"/>
              <w:b/>
              <w:bCs/>
              <w:sz w:val="26"/>
              <w:szCs w:val="26"/>
              <w:u w:val="single"/>
              <w:rtl/>
            </w:rPr>
            <w:t>לפני כבוד השופט ארז שני</w:t>
          </w:r>
        </w:p>
      </w:tc>
    </w:tr>
  </w:tbl>
  <w:p w:rsidR="002914D6" w:rsidRDefault="003E330F">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A71" w:rsidRDefault="00E23A7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4027EC"/>
    <w:multiLevelType w:val="multilevel"/>
    <w:tmpl w:val="25B4BF4E"/>
    <w:lvl w:ilvl="0">
      <w:start w:val="1"/>
      <w:numFmt w:val="decimal"/>
      <w:lvlText w:val="%1."/>
      <w:lvlJc w:val="left"/>
      <w:pPr>
        <w:ind w:left="360" w:hanging="360"/>
      </w:pPr>
      <w:rPr>
        <w:b/>
        <w:bCs/>
        <w:i w:val="0"/>
        <w:iCs w:val="0"/>
      </w:rPr>
    </w:lvl>
    <w:lvl w:ilvl="1">
      <w:start w:val="1"/>
      <w:numFmt w:val="decimal"/>
      <w:isLgl/>
      <w:lvlText w:val="%1.%2."/>
      <w:lvlJc w:val="left"/>
      <w:pPr>
        <w:ind w:left="995" w:hanging="57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4840" w:hanging="1440"/>
      </w:pPr>
      <w:rPr>
        <w:rFonts w:hint="default"/>
      </w:rPr>
    </w:lvl>
  </w:abstractNum>
  <w:abstractNum w:abstractNumId="1" w15:restartNumberingAfterBreak="0">
    <w:nsid w:val="3F544CD1"/>
    <w:multiLevelType w:val="hybridMultilevel"/>
    <w:tmpl w:val="2C844C14"/>
    <w:lvl w:ilvl="0" w:tplc="8A067CDA">
      <w:start w:val="1"/>
      <w:numFmt w:val="hebrew1"/>
      <w:lvlText w:val="%1."/>
      <w:lvlJc w:val="left"/>
      <w:pPr>
        <w:ind w:left="1505" w:hanging="360"/>
      </w:pPr>
      <w:rPr>
        <w:rFonts w:hint="default"/>
      </w:rPr>
    </w:lvl>
    <w:lvl w:ilvl="1" w:tplc="04090019" w:tentative="1">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2" w15:restartNumberingAfterBreak="0">
    <w:nsid w:val="434C0907"/>
    <w:multiLevelType w:val="hybridMultilevel"/>
    <w:tmpl w:val="1D72F88C"/>
    <w:lvl w:ilvl="0" w:tplc="B7585930">
      <w:numFmt w:val="bullet"/>
      <w:lvlText w:val=""/>
      <w:lvlJc w:val="left"/>
      <w:pPr>
        <w:ind w:left="720" w:hanging="360"/>
      </w:pPr>
      <w:rPr>
        <w:rFonts w:ascii="Symbol" w:eastAsia="Times New Roman"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A3184A"/>
    <w:multiLevelType w:val="hybridMultilevel"/>
    <w:tmpl w:val="0DC23B32"/>
    <w:lvl w:ilvl="0" w:tplc="04090013">
      <w:start w:val="1"/>
      <w:numFmt w:val="hebrew1"/>
      <w:lvlText w:val="%1."/>
      <w:lvlJc w:val="center"/>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F787D5F"/>
    <w:multiLevelType w:val="hybridMultilevel"/>
    <w:tmpl w:val="01DEDE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DDA"/>
    <w:rsid w:val="0012664A"/>
    <w:rsid w:val="001F404F"/>
    <w:rsid w:val="002A251B"/>
    <w:rsid w:val="003079DC"/>
    <w:rsid w:val="003E330F"/>
    <w:rsid w:val="003F1FE4"/>
    <w:rsid w:val="004D17E0"/>
    <w:rsid w:val="00660407"/>
    <w:rsid w:val="006C52BD"/>
    <w:rsid w:val="00A57DDA"/>
    <w:rsid w:val="00E23A71"/>
    <w:rsid w:val="00EC4FA1"/>
    <w:rsid w:val="00ED6C61"/>
    <w:rsid w:val="00F62AF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2FF6E8A-744A-4E97-94D0-F759A3501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7DDA"/>
    <w:pPr>
      <w:bidi/>
      <w:spacing w:after="0" w:line="240" w:lineRule="auto"/>
    </w:pPr>
    <w:rPr>
      <w:rFonts w:ascii="Times New Roman" w:eastAsia="Times New Roman" w:hAnsi="Times New Roman" w:cs="David"/>
      <w:noProof/>
      <w:sz w:val="24"/>
      <w:szCs w:val="24"/>
    </w:rPr>
  </w:style>
  <w:style w:type="paragraph" w:styleId="4">
    <w:name w:val="heading 4"/>
    <w:basedOn w:val="a"/>
    <w:next w:val="a"/>
    <w:link w:val="40"/>
    <w:qFormat/>
    <w:rsid w:val="00A57DDA"/>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semiHidden/>
    <w:unhideWhenUsed/>
    <w:qFormat/>
    <w:rsid w:val="00A57DDA"/>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כותרת 4 תו"/>
    <w:basedOn w:val="a0"/>
    <w:link w:val="4"/>
    <w:rsid w:val="00A57DDA"/>
    <w:rPr>
      <w:rFonts w:ascii="Times New Roman" w:eastAsia="Times New Roman" w:hAnsi="Times New Roman" w:cs="Narkisim"/>
      <w:b/>
      <w:bCs/>
      <w:noProof/>
      <w:sz w:val="24"/>
      <w:szCs w:val="24"/>
      <w14:shadow w14:blurRad="50800" w14:dist="38100" w14:dir="2700000" w14:sx="100000" w14:sy="100000" w14:kx="0" w14:ky="0" w14:algn="tl">
        <w14:srgbClr w14:val="000000">
          <w14:alpha w14:val="60000"/>
        </w14:srgbClr>
      </w14:shadow>
    </w:rPr>
  </w:style>
  <w:style w:type="character" w:customStyle="1" w:styleId="50">
    <w:name w:val="כותרת 5 תו"/>
    <w:basedOn w:val="a0"/>
    <w:link w:val="5"/>
    <w:semiHidden/>
    <w:rsid w:val="00A57DDA"/>
    <w:rPr>
      <w:rFonts w:asciiTheme="majorHAnsi" w:eastAsiaTheme="majorEastAsia" w:hAnsiTheme="majorHAnsi" w:cstheme="majorBidi"/>
      <w:noProof/>
      <w:color w:val="2E74B5" w:themeColor="accent1" w:themeShade="BF"/>
      <w:sz w:val="24"/>
      <w:szCs w:val="24"/>
    </w:rPr>
  </w:style>
  <w:style w:type="paragraph" w:styleId="a3">
    <w:name w:val="header"/>
    <w:basedOn w:val="a"/>
    <w:link w:val="a4"/>
    <w:rsid w:val="00A57DDA"/>
    <w:pPr>
      <w:tabs>
        <w:tab w:val="center" w:pos="4153"/>
        <w:tab w:val="right" w:pos="8306"/>
      </w:tabs>
    </w:pPr>
  </w:style>
  <w:style w:type="character" w:customStyle="1" w:styleId="a4">
    <w:name w:val="כותרת עליונה תו"/>
    <w:basedOn w:val="a0"/>
    <w:link w:val="a3"/>
    <w:rsid w:val="00A57DDA"/>
    <w:rPr>
      <w:rFonts w:ascii="Times New Roman" w:eastAsia="Times New Roman" w:hAnsi="Times New Roman" w:cs="David"/>
      <w:noProof/>
      <w:sz w:val="24"/>
      <w:szCs w:val="24"/>
    </w:rPr>
  </w:style>
  <w:style w:type="paragraph" w:styleId="a5">
    <w:name w:val="footer"/>
    <w:basedOn w:val="a"/>
    <w:link w:val="a6"/>
    <w:uiPriority w:val="99"/>
    <w:rsid w:val="00A57DDA"/>
    <w:pPr>
      <w:tabs>
        <w:tab w:val="center" w:pos="4153"/>
        <w:tab w:val="right" w:pos="8306"/>
      </w:tabs>
    </w:pPr>
  </w:style>
  <w:style w:type="character" w:customStyle="1" w:styleId="a6">
    <w:name w:val="כותרת תחתונה תו"/>
    <w:basedOn w:val="a0"/>
    <w:link w:val="a5"/>
    <w:uiPriority w:val="99"/>
    <w:rsid w:val="00A57DDA"/>
    <w:rPr>
      <w:rFonts w:ascii="Times New Roman" w:eastAsia="Times New Roman" w:hAnsi="Times New Roman" w:cs="David"/>
      <w:noProof/>
      <w:sz w:val="24"/>
      <w:szCs w:val="24"/>
    </w:rPr>
  </w:style>
  <w:style w:type="paragraph" w:customStyle="1" w:styleId="a7">
    <w:name w:val="סעיפים"/>
    <w:basedOn w:val="a"/>
    <w:rsid w:val="00A57DDA"/>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link w:val="a9"/>
    <w:semiHidden/>
    <w:rsid w:val="00A57DDA"/>
    <w:rPr>
      <w:rFonts w:cs="Times New Roman"/>
      <w:noProof w:val="0"/>
    </w:rPr>
  </w:style>
  <w:style w:type="character" w:customStyle="1" w:styleId="a9">
    <w:name w:val="טקסט הערה תו"/>
    <w:basedOn w:val="a0"/>
    <w:link w:val="a8"/>
    <w:semiHidden/>
    <w:rsid w:val="00A57DDA"/>
    <w:rPr>
      <w:rFonts w:ascii="Times New Roman" w:eastAsia="Times New Roman" w:hAnsi="Times New Roman" w:cs="Times New Roman"/>
      <w:sz w:val="24"/>
      <w:szCs w:val="24"/>
    </w:rPr>
  </w:style>
  <w:style w:type="character" w:styleId="aa">
    <w:name w:val="annotation reference"/>
    <w:basedOn w:val="a0"/>
    <w:semiHidden/>
    <w:rsid w:val="00A57DDA"/>
    <w:rPr>
      <w:sz w:val="16"/>
      <w:szCs w:val="16"/>
    </w:rPr>
  </w:style>
  <w:style w:type="paragraph" w:styleId="ab">
    <w:name w:val="Balloon Text"/>
    <w:basedOn w:val="a"/>
    <w:link w:val="ac"/>
    <w:semiHidden/>
    <w:rsid w:val="00A57DDA"/>
    <w:rPr>
      <w:rFonts w:ascii="Tahoma" w:hAnsi="Tahoma" w:cs="Tahoma"/>
      <w:sz w:val="16"/>
      <w:szCs w:val="16"/>
    </w:rPr>
  </w:style>
  <w:style w:type="character" w:customStyle="1" w:styleId="ac">
    <w:name w:val="טקסט בלונים תו"/>
    <w:basedOn w:val="a0"/>
    <w:link w:val="ab"/>
    <w:semiHidden/>
    <w:rsid w:val="00A57DDA"/>
    <w:rPr>
      <w:rFonts w:ascii="Tahoma" w:eastAsia="Times New Roman" w:hAnsi="Tahoma" w:cs="Tahoma"/>
      <w:noProof/>
      <w:sz w:val="16"/>
      <w:szCs w:val="16"/>
    </w:rPr>
  </w:style>
  <w:style w:type="table" w:styleId="ad">
    <w:name w:val="Table Grid"/>
    <w:basedOn w:val="a1"/>
    <w:rsid w:val="00A57DDA"/>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0"/>
    <w:rsid w:val="00A57DDA"/>
  </w:style>
  <w:style w:type="character" w:styleId="af">
    <w:name w:val="page number"/>
    <w:basedOn w:val="a0"/>
    <w:rsid w:val="00A57DDA"/>
  </w:style>
  <w:style w:type="character" w:styleId="af0">
    <w:name w:val="Placeholder Text"/>
    <w:basedOn w:val="a0"/>
    <w:uiPriority w:val="99"/>
    <w:semiHidden/>
    <w:rsid w:val="00A57DDA"/>
    <w:rPr>
      <w:color w:val="808080"/>
    </w:rPr>
  </w:style>
  <w:style w:type="paragraph" w:styleId="af1">
    <w:name w:val="List Paragraph"/>
    <w:basedOn w:val="a"/>
    <w:uiPriority w:val="34"/>
    <w:qFormat/>
    <w:rsid w:val="00A57DDA"/>
    <w:pPr>
      <w:ind w:left="720"/>
      <w:contextualSpacing/>
    </w:pPr>
  </w:style>
  <w:style w:type="character" w:styleId="Hyperlink">
    <w:name w:val="Hyperlink"/>
    <w:basedOn w:val="a0"/>
    <w:uiPriority w:val="99"/>
    <w:semiHidden/>
    <w:unhideWhenUsed/>
    <w:rsid w:val="00A57DDA"/>
    <w:rPr>
      <w:color w:val="0000FF"/>
      <w:u w:val="single"/>
    </w:rPr>
  </w:style>
  <w:style w:type="paragraph" w:styleId="af2">
    <w:name w:val="Plain Text"/>
    <w:basedOn w:val="a"/>
    <w:link w:val="af3"/>
    <w:uiPriority w:val="99"/>
    <w:semiHidden/>
    <w:unhideWhenUsed/>
    <w:rsid w:val="00A57DDA"/>
    <w:pPr>
      <w:bidi w:val="0"/>
      <w:spacing w:before="100" w:beforeAutospacing="1" w:after="100" w:afterAutospacing="1"/>
    </w:pPr>
    <w:rPr>
      <w:rFonts w:cs="Times New Roman"/>
      <w:noProof w:val="0"/>
    </w:rPr>
  </w:style>
  <w:style w:type="character" w:customStyle="1" w:styleId="af3">
    <w:name w:val="טקסט רגיל תו"/>
    <w:basedOn w:val="a0"/>
    <w:link w:val="af2"/>
    <w:uiPriority w:val="99"/>
    <w:semiHidden/>
    <w:rsid w:val="00A57DDA"/>
    <w:rPr>
      <w:rFonts w:ascii="Times New Roman" w:eastAsia="Times New Roman" w:hAnsi="Times New Roman" w:cs="Times New Roman"/>
      <w:sz w:val="24"/>
      <w:szCs w:val="24"/>
    </w:rPr>
  </w:style>
  <w:style w:type="character" w:customStyle="1" w:styleId="af4">
    <w:name w:val="סטנוגרמה תו"/>
    <w:link w:val="af5"/>
    <w:locked/>
    <w:rsid w:val="00A57DDA"/>
    <w:rPr>
      <w:spacing w:val="22"/>
      <w:sz w:val="26"/>
      <w:szCs w:val="26"/>
      <w:lang w:val="x-none" w:eastAsia="x-none"/>
    </w:rPr>
  </w:style>
  <w:style w:type="paragraph" w:customStyle="1" w:styleId="af5">
    <w:name w:val="סטנוגרמה"/>
    <w:basedOn w:val="a"/>
    <w:link w:val="af4"/>
    <w:rsid w:val="00A57DDA"/>
    <w:pPr>
      <w:widowControl w:val="0"/>
      <w:pBdr>
        <w:right w:val="double" w:sz="6" w:space="1" w:color="auto"/>
      </w:pBdr>
      <w:spacing w:line="480" w:lineRule="atLeast"/>
      <w:ind w:left="1701" w:hanging="1701"/>
    </w:pPr>
    <w:rPr>
      <w:rFonts w:asciiTheme="minorHAnsi" w:eastAsiaTheme="minorHAnsi" w:hAnsiTheme="minorHAnsi" w:cstheme="minorBidi"/>
      <w:noProof w:val="0"/>
      <w:spacing w:val="22"/>
      <w:sz w:val="26"/>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law/72994" TargetMode="External"/><Relationship Id="rId13" Type="http://schemas.openxmlformats.org/officeDocument/2006/relationships/hyperlink" Target="http://www.nevo.co.il/law/5151"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www.nevo.co.il/case/6110120" TargetMode="External"/><Relationship Id="rId12" Type="http://schemas.openxmlformats.org/officeDocument/2006/relationships/hyperlink" Target="http://www.nevo.co.il/law/71888"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law/72994"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1.jpg"/><Relationship Id="rId23" Type="http://schemas.openxmlformats.org/officeDocument/2006/relationships/glossaryDocument" Target="glossary/document.xml"/><Relationship Id="rId10" Type="http://schemas.openxmlformats.org/officeDocument/2006/relationships/hyperlink" Target="http://www.nevo.co.il/law/5151"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nevo.co.il/law/72994" TargetMode="External"/><Relationship Id="rId14" Type="http://schemas.openxmlformats.org/officeDocument/2006/relationships/hyperlink" Target="http://www.nevo.co.il/law/72994"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9CBA551D3A34410B7BB18BE7A10B73C"/>
        <w:category>
          <w:name w:val="כללי"/>
          <w:gallery w:val="placeholder"/>
        </w:category>
        <w:types>
          <w:type w:val="bbPlcHdr"/>
        </w:types>
        <w:behaviors>
          <w:behavior w:val="content"/>
        </w:behaviors>
        <w:guid w:val="{F018EAB2-2C06-41B9-A309-E66BE7E83512}"/>
      </w:docPartPr>
      <w:docPartBody>
        <w:p w:rsidR="0096635F" w:rsidRDefault="00E70A3D" w:rsidP="00E70A3D">
          <w:pPr>
            <w:pStyle w:val="B9CBA551D3A34410B7BB18BE7A10B73C"/>
          </w:pPr>
          <w:r>
            <w:rPr>
              <w:rStyle w:val="a3"/>
              <w:rtl/>
            </w:rPr>
            <w:t>תאור קבוצת שייכות צד א</w:t>
          </w:r>
        </w:p>
      </w:docPartBody>
    </w:docPart>
    <w:docPart>
      <w:docPartPr>
        <w:name w:val="90AA239BEA88497AA277E5C6BCE29BFE"/>
        <w:category>
          <w:name w:val="כללי"/>
          <w:gallery w:val="placeholder"/>
        </w:category>
        <w:types>
          <w:type w:val="bbPlcHdr"/>
        </w:types>
        <w:behaviors>
          <w:behavior w:val="content"/>
        </w:behaviors>
        <w:guid w:val="{5845F76E-CD18-4AD4-B493-FFC5E5531FE7}"/>
      </w:docPartPr>
      <w:docPartBody>
        <w:p w:rsidR="0096635F" w:rsidRDefault="00E70A3D" w:rsidP="00E70A3D">
          <w:pPr>
            <w:pStyle w:val="90AA239BEA88497AA277E5C6BCE29BFE"/>
          </w:pPr>
          <w:r>
            <w:rPr>
              <w:rStyle w:val="a3"/>
              <w:rtl/>
            </w:rPr>
            <w:t>מספר מעמד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Times-Roman">
    <w:altName w:val="Arial"/>
    <w:panose1 w:val="00000000000000000000"/>
    <w:charset w:val="00"/>
    <w:family w:val="swiss"/>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A3D"/>
    <w:rsid w:val="007E44C4"/>
    <w:rsid w:val="0096635F"/>
    <w:rsid w:val="00A44B13"/>
    <w:rsid w:val="00B26969"/>
    <w:rsid w:val="00E70A3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70A3D"/>
    <w:rPr>
      <w:color w:val="808080"/>
    </w:rPr>
  </w:style>
  <w:style w:type="paragraph" w:customStyle="1" w:styleId="B9CBA551D3A34410B7BB18BE7A10B73C">
    <w:name w:val="B9CBA551D3A34410B7BB18BE7A10B73C"/>
    <w:rsid w:val="00E70A3D"/>
    <w:pPr>
      <w:bidi/>
    </w:pPr>
  </w:style>
  <w:style w:type="paragraph" w:customStyle="1" w:styleId="90AA239BEA88497AA277E5C6BCE29BFE">
    <w:name w:val="90AA239BEA88497AA277E5C6BCE29BFE"/>
    <w:rsid w:val="00E70A3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34</Pages>
  <Words>8619</Words>
  <Characters>43100</Characters>
  <Application>Microsoft Office Word</Application>
  <DocSecurity>0</DocSecurity>
  <Lines>359</Lines>
  <Paragraphs>103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אסתר טטרואשילי</cp:lastModifiedBy>
  <cp:revision>2</cp:revision>
  <dcterms:created xsi:type="dcterms:W3CDTF">2023-08-27T11:42:00Z</dcterms:created>
  <dcterms:modified xsi:type="dcterms:W3CDTF">2023-08-27T11:42:00Z</dcterms:modified>
</cp:coreProperties>
</file>